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FC737" w14:textId="77777777" w:rsidR="00F75CC9" w:rsidRDefault="00F75CC9" w:rsidP="00522F20">
      <w:pPr>
        <w:ind w:left="1440" w:firstLine="720"/>
        <w:jc w:val="both"/>
      </w:pPr>
      <w:bookmarkStart w:id="0" w:name="_GoBack"/>
      <w:bookmarkEnd w:id="0"/>
      <w:r>
        <w:rPr>
          <w:noProof/>
        </w:rPr>
        <w:drawing>
          <wp:anchor distT="114300" distB="114300" distL="114300" distR="114300" simplePos="0" relativeHeight="251659264" behindDoc="0" locked="0" layoutInCell="0" hidden="0" allowOverlap="1" wp14:anchorId="72CE26A5" wp14:editId="69AD8A3D">
            <wp:simplePos x="0" y="0"/>
            <wp:positionH relativeFrom="margin">
              <wp:posOffset>-190499</wp:posOffset>
            </wp:positionH>
            <wp:positionV relativeFrom="paragraph">
              <wp:posOffset>0</wp:posOffset>
            </wp:positionV>
            <wp:extent cx="1076826" cy="852488"/>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1076826" cy="852488"/>
                    </a:xfrm>
                    <a:prstGeom prst="rect">
                      <a:avLst/>
                    </a:prstGeom>
                    <a:ln/>
                  </pic:spPr>
                </pic:pic>
              </a:graphicData>
            </a:graphic>
          </wp:anchor>
        </w:drawing>
      </w:r>
      <w:r>
        <w:rPr>
          <w:sz w:val="36"/>
          <w:szCs w:val="36"/>
        </w:rPr>
        <w:t xml:space="preserve"> D.C. Criminal Code Reform Commission</w:t>
      </w:r>
    </w:p>
    <w:p w14:paraId="2CCA6C43" w14:textId="77777777" w:rsidR="00F75CC9" w:rsidRDefault="00F75CC9" w:rsidP="00522F20">
      <w:pPr>
        <w:ind w:left="1440" w:firstLine="720"/>
        <w:jc w:val="both"/>
      </w:pPr>
      <w:r>
        <w:t>441 Fourth Street, NW, Suite 1C001S, Washington, DC 20001</w:t>
      </w:r>
      <w:r>
        <w:tab/>
        <w:t xml:space="preserve"> </w:t>
      </w:r>
    </w:p>
    <w:p w14:paraId="6CA813AA" w14:textId="2988426E" w:rsidR="00F75CC9" w:rsidRDefault="00F75CC9" w:rsidP="00522F20">
      <w:pPr>
        <w:ind w:left="2880" w:firstLine="720"/>
        <w:jc w:val="both"/>
      </w:pPr>
      <w:r>
        <w:t xml:space="preserve">(202) 442-8715     </w:t>
      </w:r>
      <w:r>
        <w:rPr>
          <w:color w:val="1155CC"/>
          <w:u w:val="single"/>
        </w:rPr>
        <w:t>www.ccrc.dc.gov</w:t>
      </w:r>
    </w:p>
    <w:p w14:paraId="07074BFC" w14:textId="77777777" w:rsidR="00862B5A" w:rsidRDefault="00862B5A" w:rsidP="00522F20">
      <w:pPr>
        <w:jc w:val="both"/>
      </w:pPr>
    </w:p>
    <w:p w14:paraId="3DFAB353" w14:textId="77777777" w:rsidR="00F75CC9" w:rsidRDefault="00F75CC9" w:rsidP="00522F20">
      <w:pPr>
        <w:jc w:val="both"/>
      </w:pPr>
    </w:p>
    <w:p w14:paraId="55BE5A82" w14:textId="77777777" w:rsidR="00F75CC9" w:rsidRDefault="00F75CC9" w:rsidP="00312C03">
      <w:pPr>
        <w:jc w:val="center"/>
      </w:pPr>
    </w:p>
    <w:p w14:paraId="02A30186" w14:textId="77777777" w:rsidR="00F75CC9" w:rsidRPr="00A0797E" w:rsidRDefault="00F75CC9" w:rsidP="00312C03">
      <w:pPr>
        <w:jc w:val="center"/>
        <w:rPr>
          <w:b/>
        </w:rPr>
      </w:pPr>
      <w:r w:rsidRPr="00A0797E">
        <w:rPr>
          <w:b/>
        </w:rPr>
        <w:t>MINUTES OF PUBLIC MEETING</w:t>
      </w:r>
    </w:p>
    <w:p w14:paraId="427E326B" w14:textId="77777777" w:rsidR="00F75CC9" w:rsidRPr="00A0797E" w:rsidRDefault="00F75CC9" w:rsidP="00312C03">
      <w:pPr>
        <w:jc w:val="center"/>
        <w:rPr>
          <w:b/>
        </w:rPr>
      </w:pPr>
    </w:p>
    <w:p w14:paraId="7E610A50" w14:textId="5617F47A" w:rsidR="00F75CC9" w:rsidRPr="00A0797E" w:rsidRDefault="00F75CC9" w:rsidP="00312C03">
      <w:pPr>
        <w:jc w:val="center"/>
        <w:rPr>
          <w:b/>
        </w:rPr>
      </w:pPr>
      <w:r w:rsidRPr="00A0797E">
        <w:rPr>
          <w:b/>
        </w:rPr>
        <w:t xml:space="preserve">WEDNESDAY, </w:t>
      </w:r>
      <w:r w:rsidR="009223E7">
        <w:rPr>
          <w:b/>
        </w:rPr>
        <w:t>APRIL 5</w:t>
      </w:r>
      <w:r w:rsidRPr="00A0797E">
        <w:rPr>
          <w:b/>
        </w:rPr>
        <w:t>, 2017 at 2:00PM</w:t>
      </w:r>
    </w:p>
    <w:p w14:paraId="6BD58EEE" w14:textId="14D53BA1" w:rsidR="00F75CC9" w:rsidRPr="00A0797E" w:rsidRDefault="00F75CC9" w:rsidP="00312C03">
      <w:pPr>
        <w:jc w:val="center"/>
        <w:rPr>
          <w:b/>
        </w:rPr>
      </w:pPr>
      <w:r w:rsidRPr="00A0797E">
        <w:rPr>
          <w:b/>
        </w:rPr>
        <w:t xml:space="preserve">CITYWIDE CONFERENCE CENTER, 11th </w:t>
      </w:r>
      <w:r w:rsidR="00FA59AB">
        <w:rPr>
          <w:b/>
        </w:rPr>
        <w:t>FLOOR OF</w:t>
      </w:r>
      <w:r w:rsidRPr="00A0797E">
        <w:rPr>
          <w:b/>
        </w:rPr>
        <w:t xml:space="preserve"> 441 4th STREET NW</w:t>
      </w:r>
    </w:p>
    <w:p w14:paraId="7AD921A4" w14:textId="77777777" w:rsidR="00F75CC9" w:rsidRPr="00A0797E" w:rsidRDefault="00F75CC9" w:rsidP="00312C03">
      <w:pPr>
        <w:jc w:val="center"/>
        <w:rPr>
          <w:b/>
        </w:rPr>
      </w:pPr>
      <w:r w:rsidRPr="00A0797E">
        <w:rPr>
          <w:b/>
        </w:rPr>
        <w:t>WASHINGTON, D.C. 20001</w:t>
      </w:r>
    </w:p>
    <w:p w14:paraId="76EC810B" w14:textId="77777777" w:rsidR="00F75CC9" w:rsidRDefault="00F75CC9" w:rsidP="00522F20">
      <w:pPr>
        <w:jc w:val="both"/>
      </w:pPr>
    </w:p>
    <w:p w14:paraId="6A1F758F" w14:textId="3B30905C" w:rsidR="00F75CC9" w:rsidRDefault="00F75CC9" w:rsidP="00522F20">
      <w:pPr>
        <w:jc w:val="both"/>
      </w:pPr>
      <w:r>
        <w:t xml:space="preserve">On Wednesday, </w:t>
      </w:r>
      <w:r w:rsidR="009223E7">
        <w:t>April 5</w:t>
      </w:r>
      <w:r>
        <w:t xml:space="preserve">, 2017 at 2:00pm, </w:t>
      </w:r>
      <w:r w:rsidRPr="00F75CC9">
        <w:t xml:space="preserve">the D.C. Criminal Code Reform Commission (CCRC) held a meeting of its Criminal Code </w:t>
      </w:r>
      <w:r w:rsidR="00513134">
        <w:t>Reform</w:t>
      </w:r>
      <w:r w:rsidRPr="00F75CC9">
        <w:t xml:space="preserve"> Advisory Group (Advisory Group).  The meeting was held in Room </w:t>
      </w:r>
      <w:r w:rsidR="009A2E4D">
        <w:t>1112</w:t>
      </w:r>
      <w:r w:rsidRPr="00F75CC9">
        <w:t xml:space="preserve"> at 441 </w:t>
      </w:r>
      <w:r w:rsidR="001564DD">
        <w:t>4th</w:t>
      </w:r>
      <w:r w:rsidR="001564DD" w:rsidRPr="00F75CC9">
        <w:t xml:space="preserve"> </w:t>
      </w:r>
      <w:r w:rsidRPr="00F75CC9">
        <w:t xml:space="preserve">St., N.W., Washington, D.C.  The meeting minutes are below.  For further information, contact Richard Schmechel, Executive Director, at (202) 442-8715 or </w:t>
      </w:r>
      <w:hyperlink r:id="rId10" w:history="1">
        <w:r w:rsidRPr="003A28C7">
          <w:rPr>
            <w:rStyle w:val="Hyperlink"/>
          </w:rPr>
          <w:t>richard.schmechel@dc.gov</w:t>
        </w:r>
      </w:hyperlink>
      <w:r w:rsidRPr="00F75CC9">
        <w:t>.</w:t>
      </w:r>
    </w:p>
    <w:p w14:paraId="53EDE4CF" w14:textId="77777777" w:rsidR="00F75CC9" w:rsidRDefault="00F75CC9" w:rsidP="00522F20">
      <w:pPr>
        <w:jc w:val="both"/>
      </w:pPr>
    </w:p>
    <w:p w14:paraId="686FCEAF" w14:textId="77777777" w:rsidR="00F75CC9" w:rsidRPr="00F75CC9" w:rsidRDefault="00F75CC9" w:rsidP="00522F20">
      <w:pPr>
        <w:jc w:val="both"/>
        <w:rPr>
          <w:b/>
        </w:rPr>
      </w:pPr>
      <w:r w:rsidRPr="00F75CC9">
        <w:rPr>
          <w:b/>
        </w:rPr>
        <w:t>Commission Staff in Attendance:</w:t>
      </w:r>
    </w:p>
    <w:p w14:paraId="6E79259D" w14:textId="77777777" w:rsidR="00F75CC9" w:rsidRDefault="00F75CC9" w:rsidP="00522F20">
      <w:pPr>
        <w:jc w:val="both"/>
      </w:pPr>
    </w:p>
    <w:p w14:paraId="38A4EF06" w14:textId="753AB6F4" w:rsidR="00187C17" w:rsidRDefault="00F75CC9" w:rsidP="00187C17">
      <w:pPr>
        <w:jc w:val="both"/>
      </w:pPr>
      <w:r>
        <w:t>Rachel Redfern (Chief Counsel for</w:t>
      </w:r>
      <w:r w:rsidR="000166BB">
        <w:t xml:space="preserve"> Management</w:t>
      </w:r>
      <w:r w:rsidR="000166BB">
        <w:tab/>
      </w:r>
      <w:r w:rsidR="00187C17">
        <w:t>Michael Serota (Chief Counsel for Policy &amp;</w:t>
      </w:r>
    </w:p>
    <w:p w14:paraId="2A727DBE" w14:textId="086A2A24" w:rsidR="00F75CC9" w:rsidRDefault="000166BB" w:rsidP="00522F20">
      <w:pPr>
        <w:jc w:val="both"/>
      </w:pPr>
      <w:r>
        <w:t>&amp; Legislation</w:t>
      </w:r>
      <w:r w:rsidR="00187C17">
        <w:t>)</w:t>
      </w:r>
      <w:r w:rsidR="00187C17">
        <w:tab/>
      </w:r>
      <w:r w:rsidR="00187C17">
        <w:tab/>
      </w:r>
      <w:r w:rsidR="00187C17">
        <w:tab/>
      </w:r>
      <w:r w:rsidR="00187C17">
        <w:tab/>
      </w:r>
      <w:r w:rsidR="00187C17">
        <w:tab/>
      </w:r>
      <w:r w:rsidR="00187C17">
        <w:tab/>
      </w:r>
      <w:r>
        <w:t>Planning</w:t>
      </w:r>
      <w:r w:rsidR="00F75CC9">
        <w:t>)</w:t>
      </w:r>
    </w:p>
    <w:p w14:paraId="054E9D38" w14:textId="77777777" w:rsidR="00F75CC9" w:rsidRDefault="00F75CC9" w:rsidP="00522F20">
      <w:pPr>
        <w:jc w:val="both"/>
      </w:pPr>
    </w:p>
    <w:p w14:paraId="33F233DA" w14:textId="6D4FDCEB" w:rsidR="00F75CC9" w:rsidRDefault="00187C17" w:rsidP="00522F20">
      <w:pPr>
        <w:jc w:val="both"/>
      </w:pPr>
      <w:r>
        <w:t>Jinwoo Park (Attorney Advisor)</w:t>
      </w:r>
      <w:r w:rsidR="001564DD">
        <w:tab/>
      </w:r>
      <w:r w:rsidR="001564DD">
        <w:tab/>
      </w:r>
      <w:r w:rsidR="001564DD">
        <w:tab/>
      </w:r>
      <w:r w:rsidR="001564DD" w:rsidRPr="001564DD">
        <w:t>Bryson Nitta (Attorney Advisor)</w:t>
      </w:r>
    </w:p>
    <w:p w14:paraId="6DBC091C" w14:textId="77777777" w:rsidR="00F75CC9" w:rsidRDefault="00F75CC9" w:rsidP="00522F20">
      <w:pPr>
        <w:jc w:val="both"/>
      </w:pPr>
    </w:p>
    <w:p w14:paraId="61B66BFC" w14:textId="1E59F2B4" w:rsidR="00F75CC9" w:rsidRPr="00F75CC9" w:rsidRDefault="00F75CC9" w:rsidP="00522F20">
      <w:pPr>
        <w:jc w:val="both"/>
        <w:rPr>
          <w:b/>
        </w:rPr>
      </w:pPr>
      <w:r w:rsidRPr="00F75CC9">
        <w:rPr>
          <w:b/>
        </w:rPr>
        <w:t xml:space="preserve">Advisory Group Members </w:t>
      </w:r>
      <w:r w:rsidR="00497D74">
        <w:rPr>
          <w:b/>
        </w:rPr>
        <w:t xml:space="preserve">and Guests </w:t>
      </w:r>
      <w:r w:rsidRPr="00F75CC9">
        <w:rPr>
          <w:b/>
        </w:rPr>
        <w:t>in Attendance:</w:t>
      </w:r>
    </w:p>
    <w:p w14:paraId="2E598348" w14:textId="77777777" w:rsidR="00F75CC9" w:rsidRDefault="00F75CC9" w:rsidP="00522F20">
      <w:pPr>
        <w:jc w:val="both"/>
      </w:pPr>
    </w:p>
    <w:p w14:paraId="3B0E27BD" w14:textId="58325883" w:rsidR="00F75CC9" w:rsidRDefault="00F75CC9" w:rsidP="00C13AA9">
      <w:pPr>
        <w:ind w:left="5040" w:hanging="5040"/>
        <w:jc w:val="both"/>
      </w:pPr>
      <w:r>
        <w:t>Paul Butler (Council Appointee)</w:t>
      </w:r>
      <w:r w:rsidR="0001580F">
        <w:t>,</w:t>
      </w:r>
      <w:r w:rsidR="00C13AA9">
        <w:t xml:space="preserve"> until </w:t>
      </w:r>
      <w:r w:rsidR="009A2E4D">
        <w:t>2:45</w:t>
      </w:r>
      <w:r w:rsidR="00C13AA9">
        <w:t xml:space="preserve"> PM</w:t>
      </w:r>
      <w:r>
        <w:tab/>
        <w:t xml:space="preserve">Donald </w:t>
      </w:r>
      <w:proofErr w:type="spellStart"/>
      <w:r>
        <w:t>Braman</w:t>
      </w:r>
      <w:proofErr w:type="spellEnd"/>
      <w:r>
        <w:t xml:space="preserve"> (Council Appointee)</w:t>
      </w:r>
      <w:r w:rsidR="00C13AA9">
        <w:t>, via phone</w:t>
      </w:r>
    </w:p>
    <w:p w14:paraId="29175B8C" w14:textId="77777777" w:rsidR="00F75CC9" w:rsidRDefault="00F75CC9" w:rsidP="00522F20">
      <w:pPr>
        <w:jc w:val="both"/>
      </w:pPr>
    </w:p>
    <w:p w14:paraId="001FD431" w14:textId="77777777" w:rsidR="00F75CC9" w:rsidRDefault="00F75CC9" w:rsidP="00522F20">
      <w:pPr>
        <w:jc w:val="both"/>
      </w:pPr>
      <w:r>
        <w:t xml:space="preserve">Laura Hankins (Designee of the Director of </w:t>
      </w:r>
      <w:r>
        <w:tab/>
      </w:r>
      <w:r>
        <w:tab/>
        <w:t xml:space="preserve">Renata Kendrick Cooper (Designee of the </w:t>
      </w:r>
    </w:p>
    <w:p w14:paraId="601C1678" w14:textId="03BC84CC" w:rsidR="00F75CC9" w:rsidRDefault="006677F5" w:rsidP="00522F20">
      <w:pPr>
        <w:jc w:val="both"/>
      </w:pPr>
      <w:proofErr w:type="gramStart"/>
      <w:r>
        <w:t>t</w:t>
      </w:r>
      <w:r w:rsidR="00F75CC9">
        <w:t>he</w:t>
      </w:r>
      <w:proofErr w:type="gramEnd"/>
      <w:r w:rsidR="00F75CC9">
        <w:t xml:space="preserve"> Public Defender Service for the District </w:t>
      </w:r>
      <w:r w:rsidR="00F75CC9">
        <w:tab/>
      </w:r>
      <w:r w:rsidR="00F75CC9">
        <w:tab/>
        <w:t>United States Attorney</w:t>
      </w:r>
      <w:r w:rsidR="009C2126">
        <w:t xml:space="preserve"> for the District of</w:t>
      </w:r>
    </w:p>
    <w:p w14:paraId="3096DC0D" w14:textId="294DE674" w:rsidR="009B259B" w:rsidRDefault="00DD01D7" w:rsidP="00DF05D7">
      <w:proofErr w:type="gramStart"/>
      <w:r>
        <w:t>o</w:t>
      </w:r>
      <w:r w:rsidR="00F75CC9">
        <w:t>f</w:t>
      </w:r>
      <w:proofErr w:type="gramEnd"/>
      <w:r w:rsidR="00F75CC9">
        <w:t xml:space="preserve"> </w:t>
      </w:r>
      <w:r w:rsidR="00DF05D7" w:rsidRPr="00DF05D7">
        <w:t>Columbia)</w:t>
      </w:r>
      <w:r w:rsidR="0001580F">
        <w:t>,</w:t>
      </w:r>
      <w:r w:rsidR="006677F5">
        <w:t xml:space="preserve"> </w:t>
      </w:r>
      <w:r w:rsidR="00C13AA9">
        <w:t xml:space="preserve">until 3:00 PM. </w:t>
      </w:r>
      <w:r w:rsidR="009C2126">
        <w:tab/>
      </w:r>
      <w:r w:rsidR="009C2126">
        <w:tab/>
      </w:r>
      <w:r w:rsidR="009C2126">
        <w:tab/>
      </w:r>
      <w:r>
        <w:tab/>
      </w:r>
      <w:r w:rsidR="009C2126">
        <w:t>Columbia)</w:t>
      </w:r>
    </w:p>
    <w:p w14:paraId="2684BA83" w14:textId="77777777" w:rsidR="008E5249" w:rsidRDefault="008E5249" w:rsidP="00DF05D7"/>
    <w:p w14:paraId="4CF3FA9F" w14:textId="2E112888" w:rsidR="008E5249" w:rsidRDefault="009B259B" w:rsidP="009B259B">
      <w:pPr>
        <w:jc w:val="both"/>
      </w:pPr>
      <w:r w:rsidRPr="009B259B">
        <w:t xml:space="preserve">Katerina </w:t>
      </w:r>
      <w:proofErr w:type="spellStart"/>
      <w:r w:rsidRPr="009B259B">
        <w:t>Semyonova</w:t>
      </w:r>
      <w:proofErr w:type="spellEnd"/>
      <w:r w:rsidRPr="009B259B">
        <w:t xml:space="preserve"> (Visiting Attendee of </w:t>
      </w:r>
      <w:r w:rsidR="009C2126">
        <w:tab/>
      </w:r>
      <w:r w:rsidR="009C2126">
        <w:tab/>
        <w:t xml:space="preserve">Dave </w:t>
      </w:r>
      <w:r w:rsidR="009B44A2">
        <w:t>Rosenthal (Designee of the Attorney</w:t>
      </w:r>
    </w:p>
    <w:p w14:paraId="46E28718" w14:textId="55153E2B" w:rsidR="008E5249" w:rsidRDefault="008E5249" w:rsidP="008E5249">
      <w:pPr>
        <w:jc w:val="both"/>
      </w:pPr>
      <w:proofErr w:type="gramStart"/>
      <w:r>
        <w:t>the</w:t>
      </w:r>
      <w:proofErr w:type="gramEnd"/>
      <w:r>
        <w:t xml:space="preserve"> Public Defender Service for the </w:t>
      </w:r>
      <w:r>
        <w:tab/>
      </w:r>
      <w:r>
        <w:tab/>
      </w:r>
      <w:r>
        <w:tab/>
      </w:r>
      <w:r w:rsidRPr="008E5249">
        <w:t>General</w:t>
      </w:r>
      <w:r w:rsidR="009C2126">
        <w:t xml:space="preserve"> for the District of</w:t>
      </w:r>
      <w:r w:rsidR="009B44A2">
        <w:t xml:space="preserve"> Columbia)</w:t>
      </w:r>
    </w:p>
    <w:p w14:paraId="7B657BAE" w14:textId="2AFEDDAD" w:rsidR="009B259B" w:rsidRDefault="008E5249" w:rsidP="008E5249">
      <w:pPr>
        <w:jc w:val="both"/>
      </w:pPr>
      <w:r>
        <w:t>District of Columbia)</w:t>
      </w:r>
      <w:r w:rsidR="009C2126">
        <w:tab/>
      </w:r>
      <w:r w:rsidR="009C2126">
        <w:tab/>
      </w:r>
      <w:r w:rsidR="009C2126">
        <w:tab/>
      </w:r>
      <w:r w:rsidR="009C2126">
        <w:tab/>
      </w:r>
      <w:r w:rsidR="009C2126">
        <w:tab/>
      </w:r>
    </w:p>
    <w:p w14:paraId="5A075DF5" w14:textId="77777777" w:rsidR="00187C17" w:rsidRDefault="00187C17" w:rsidP="00522F20">
      <w:pPr>
        <w:jc w:val="both"/>
      </w:pPr>
    </w:p>
    <w:p w14:paraId="4EE49077" w14:textId="77777777" w:rsidR="00F77FBF" w:rsidRDefault="00F77FBF" w:rsidP="00522F20">
      <w:pPr>
        <w:jc w:val="both"/>
      </w:pPr>
    </w:p>
    <w:p w14:paraId="31870CA2" w14:textId="77777777" w:rsidR="00F77FBF" w:rsidRDefault="00F77FBF" w:rsidP="00522F20">
      <w:pPr>
        <w:jc w:val="both"/>
      </w:pPr>
    </w:p>
    <w:p w14:paraId="67AC7244" w14:textId="77777777" w:rsidR="00EF0AD6" w:rsidRPr="00977507" w:rsidRDefault="00EF0AD6" w:rsidP="00977507">
      <w:pPr>
        <w:pStyle w:val="ListParagraph"/>
        <w:numPr>
          <w:ilvl w:val="0"/>
          <w:numId w:val="5"/>
        </w:numPr>
        <w:jc w:val="both"/>
        <w:rPr>
          <w:b/>
        </w:rPr>
      </w:pPr>
      <w:r w:rsidRPr="00977507">
        <w:rPr>
          <w:b/>
        </w:rPr>
        <w:lastRenderedPageBreak/>
        <w:t xml:space="preserve">Welcome </w:t>
      </w:r>
    </w:p>
    <w:p w14:paraId="5DA89AFB" w14:textId="08997D57" w:rsidR="00EF0AD6" w:rsidRDefault="009223E7" w:rsidP="00EF0AD6">
      <w:pPr>
        <w:pStyle w:val="ListParagraph"/>
        <w:numPr>
          <w:ilvl w:val="0"/>
          <w:numId w:val="3"/>
        </w:numPr>
        <w:jc w:val="both"/>
      </w:pPr>
      <w:r>
        <w:t>Rachel Redfern</w:t>
      </w:r>
      <w:r w:rsidR="00CA6C27">
        <w:t>, Chief Counsel for</w:t>
      </w:r>
      <w:r w:rsidR="006677F5">
        <w:t xml:space="preserve"> Management &amp; Legislation (CCML)</w:t>
      </w:r>
      <w:r w:rsidR="00CA6C27">
        <w:t>,</w:t>
      </w:r>
      <w:r>
        <w:t xml:space="preserve"> </w:t>
      </w:r>
      <w:r w:rsidR="00EF0AD6">
        <w:t>called the meeting to order.</w:t>
      </w:r>
    </w:p>
    <w:p w14:paraId="2DB385BD" w14:textId="22093267" w:rsidR="009223E7" w:rsidRDefault="006677F5" w:rsidP="009223E7">
      <w:pPr>
        <w:pStyle w:val="ListParagraph"/>
        <w:numPr>
          <w:ilvl w:val="0"/>
          <w:numId w:val="3"/>
        </w:numPr>
        <w:jc w:val="both"/>
      </w:pPr>
      <w:r>
        <w:t>The CCML</w:t>
      </w:r>
      <w:r w:rsidR="00CA6C27">
        <w:t xml:space="preserve"> n</w:t>
      </w:r>
      <w:r w:rsidR="009223E7">
        <w:t xml:space="preserve">oted that </w:t>
      </w:r>
      <w:r w:rsidR="00F463FB">
        <w:t xml:space="preserve">the deadline is April 24, 2017 for </w:t>
      </w:r>
      <w:r w:rsidR="00D62FEF">
        <w:t xml:space="preserve">Advisory Group written comments on </w:t>
      </w:r>
      <w:r w:rsidR="004A5FDA">
        <w:t xml:space="preserve">two reports, </w:t>
      </w:r>
      <w:r w:rsidR="00D62FEF">
        <w:t>the First Draft of Report No.</w:t>
      </w:r>
      <w:r>
        <w:t xml:space="preserve"> 3</w:t>
      </w:r>
      <w:r w:rsidR="00D62FEF">
        <w:t xml:space="preserve">, </w:t>
      </w:r>
      <w:r w:rsidR="00CD14E7">
        <w:t>Recommendations for Chapter 2 of the Revised Criminal Code</w:t>
      </w:r>
      <w:r w:rsidR="00E4108A" w:rsidRPr="00E4108A">
        <w:t>—</w:t>
      </w:r>
      <w:r w:rsidR="00CD14E7">
        <w:t>Mistake, Deliberate Ignorance, and Intoxication,</w:t>
      </w:r>
      <w:r>
        <w:t xml:space="preserve"> and</w:t>
      </w:r>
      <w:r w:rsidR="00CD14E7">
        <w:t xml:space="preserve"> </w:t>
      </w:r>
      <w:r w:rsidR="004A5FDA">
        <w:t xml:space="preserve">the </w:t>
      </w:r>
      <w:r w:rsidR="00CD14E7">
        <w:t>First Draft of Report No.</w:t>
      </w:r>
      <w:r>
        <w:t xml:space="preserve"> </w:t>
      </w:r>
      <w:r w:rsidR="009223E7">
        <w:t>4</w:t>
      </w:r>
      <w:r w:rsidR="00CD14E7">
        <w:t>, Recommendations for Chapter 1 of the Revised Crimi</w:t>
      </w:r>
      <w:r w:rsidR="00F463FB">
        <w:t>nal Code</w:t>
      </w:r>
      <w:r w:rsidR="00E4108A" w:rsidRPr="00E4108A">
        <w:t>—</w:t>
      </w:r>
      <w:r w:rsidR="00F463FB">
        <w:t>Preliminary Provisions</w:t>
      </w:r>
      <w:r w:rsidR="009223E7">
        <w:t xml:space="preserve">. </w:t>
      </w:r>
    </w:p>
    <w:p w14:paraId="24C3690F" w14:textId="2C870CA5" w:rsidR="00977507" w:rsidRDefault="006677F5" w:rsidP="009223E7">
      <w:pPr>
        <w:pStyle w:val="ListParagraph"/>
        <w:numPr>
          <w:ilvl w:val="0"/>
          <w:numId w:val="3"/>
        </w:numPr>
        <w:jc w:val="both"/>
      </w:pPr>
      <w:r>
        <w:t xml:space="preserve">The CCML </w:t>
      </w:r>
      <w:r w:rsidR="00CA6C27">
        <w:t>noted that</w:t>
      </w:r>
      <w:r w:rsidR="009223E7">
        <w:t xml:space="preserve"> </w:t>
      </w:r>
      <w:r w:rsidR="00F463FB">
        <w:t>two new</w:t>
      </w:r>
      <w:r w:rsidR="009223E7">
        <w:t xml:space="preserve"> reports on</w:t>
      </w:r>
      <w:r w:rsidR="00F463FB">
        <w:t xml:space="preserve"> </w:t>
      </w:r>
      <w:r w:rsidR="009223E7">
        <w:t>draft general provisions</w:t>
      </w:r>
      <w:r w:rsidR="00F463FB">
        <w:t xml:space="preserve"> for attempts and classification of offenses will</w:t>
      </w:r>
      <w:r w:rsidR="009223E7">
        <w:t xml:space="preserve"> be submitted </w:t>
      </w:r>
      <w:r>
        <w:t xml:space="preserve">for </w:t>
      </w:r>
      <w:r w:rsidR="00D676C2">
        <w:t>Advisory Group</w:t>
      </w:r>
      <w:r>
        <w:t xml:space="preserve"> review in late </w:t>
      </w:r>
      <w:r w:rsidR="009223E7">
        <w:t xml:space="preserve">April, </w:t>
      </w:r>
      <w:r w:rsidR="004A5FDA">
        <w:t xml:space="preserve">after </w:t>
      </w:r>
      <w:r>
        <w:t xml:space="preserve">the </w:t>
      </w:r>
      <w:r w:rsidR="009223E7">
        <w:t>de</w:t>
      </w:r>
      <w:r>
        <w:t xml:space="preserve">adline for </w:t>
      </w:r>
      <w:r w:rsidR="00F463FB">
        <w:t>Advisory Group written comments</w:t>
      </w:r>
      <w:r>
        <w:t xml:space="preserve"> on</w:t>
      </w:r>
      <w:r w:rsidR="00D676C2">
        <w:t xml:space="preserve"> the First Drafts of</w:t>
      </w:r>
      <w:r>
        <w:t xml:space="preserve"> Reports Nos. 3 and </w:t>
      </w:r>
      <w:r w:rsidR="00F463FB">
        <w:t xml:space="preserve">4.  Additionally, a report on general enhancements may be issued by the end of April or early May. </w:t>
      </w:r>
    </w:p>
    <w:p w14:paraId="7FCEBB8F" w14:textId="3C34D407" w:rsidR="00F463FB" w:rsidRDefault="00DF5A4A" w:rsidP="009223E7">
      <w:pPr>
        <w:pStyle w:val="ListParagraph"/>
        <w:numPr>
          <w:ilvl w:val="0"/>
          <w:numId w:val="3"/>
        </w:numPr>
        <w:jc w:val="both"/>
      </w:pPr>
      <w:r>
        <w:t xml:space="preserve">The CCML reminded everyone that the previously scheduled May 3, 2017 Advisory Group Meeting has been moved to Wednesday, May 17, at 2:00-4:00 p.m. </w:t>
      </w:r>
    </w:p>
    <w:p w14:paraId="5AB10FB6" w14:textId="77777777" w:rsidR="00410E1A" w:rsidRDefault="00410E1A" w:rsidP="00410E1A">
      <w:pPr>
        <w:pStyle w:val="ListParagraph"/>
        <w:jc w:val="both"/>
      </w:pPr>
    </w:p>
    <w:p w14:paraId="49AAADC3" w14:textId="4A7B9955" w:rsidR="00331A13" w:rsidRPr="00331A13" w:rsidRDefault="009223E7" w:rsidP="00331A13">
      <w:pPr>
        <w:pStyle w:val="ListParagraph"/>
        <w:numPr>
          <w:ilvl w:val="0"/>
          <w:numId w:val="5"/>
        </w:numPr>
        <w:jc w:val="both"/>
        <w:rPr>
          <w:b/>
        </w:rPr>
      </w:pPr>
      <w:r>
        <w:rPr>
          <w:b/>
        </w:rPr>
        <w:t>Vote on</w:t>
      </w:r>
      <w:r w:rsidR="00EF0AD6" w:rsidRPr="00977507">
        <w:rPr>
          <w:b/>
        </w:rPr>
        <w:t xml:space="preserve"> </w:t>
      </w:r>
      <w:r w:rsidR="00FC039C">
        <w:rPr>
          <w:b/>
        </w:rPr>
        <w:t xml:space="preserve">Report No. </w:t>
      </w:r>
      <w:r w:rsidR="00CA6C27">
        <w:rPr>
          <w:b/>
        </w:rPr>
        <w:t xml:space="preserve">1: </w:t>
      </w:r>
      <w:r>
        <w:rPr>
          <w:b/>
        </w:rPr>
        <w:t>Recommenda</w:t>
      </w:r>
      <w:r w:rsidR="00CA6C27">
        <w:rPr>
          <w:b/>
        </w:rPr>
        <w:t xml:space="preserve">tions for Enactment of </w:t>
      </w:r>
      <w:r w:rsidR="00410E1A">
        <w:rPr>
          <w:b/>
        </w:rPr>
        <w:t xml:space="preserve">D.C. Code </w:t>
      </w:r>
      <w:r w:rsidR="00CA6C27">
        <w:rPr>
          <w:b/>
        </w:rPr>
        <w:t xml:space="preserve">Title 22 </w:t>
      </w:r>
      <w:r>
        <w:rPr>
          <w:b/>
        </w:rPr>
        <w:t xml:space="preserve">and </w:t>
      </w:r>
      <w:r w:rsidR="00410E1A">
        <w:rPr>
          <w:b/>
        </w:rPr>
        <w:t>Other Changes to Criminal Statutes</w:t>
      </w:r>
      <w:r w:rsidR="00331A13">
        <w:rPr>
          <w:b/>
        </w:rPr>
        <w:t xml:space="preserve"> (Voting Draft).  </w:t>
      </w:r>
    </w:p>
    <w:p w14:paraId="02B6413A" w14:textId="53FCF09B" w:rsidR="00331A13" w:rsidRDefault="00331A13" w:rsidP="00410E1A">
      <w:pPr>
        <w:pStyle w:val="ListParagraph"/>
        <w:numPr>
          <w:ilvl w:val="0"/>
          <w:numId w:val="6"/>
        </w:numPr>
        <w:jc w:val="both"/>
      </w:pPr>
      <w:r>
        <w:t xml:space="preserve">The CCML stated that, if approved, </w:t>
      </w:r>
      <w:r w:rsidR="00FB44F6">
        <w:t>Report No. 1</w:t>
      </w:r>
      <w:r>
        <w:t xml:space="preserve"> and </w:t>
      </w:r>
      <w:r w:rsidR="004A5FDA">
        <w:t xml:space="preserve">the </w:t>
      </w:r>
      <w:r>
        <w:t xml:space="preserve">accompanying appendices would be sent to the Council and the Mayor by the end of April.  An electronic copy of this transmission will be sent to the Advisory Group.  Prior to sending the materials, the redline edits currently in the Voting Draft version would be removed.  </w:t>
      </w:r>
    </w:p>
    <w:p w14:paraId="6BFBDF16" w14:textId="3509B62E" w:rsidR="00331A13" w:rsidRDefault="00331A13" w:rsidP="00331A13">
      <w:pPr>
        <w:pStyle w:val="ListParagraph"/>
        <w:numPr>
          <w:ilvl w:val="0"/>
          <w:numId w:val="6"/>
        </w:numPr>
        <w:jc w:val="both"/>
      </w:pPr>
      <w:r>
        <w:t>The CCML noted that any Advisory Group member may submit a written statement to accompany the final version of Report No. 1 and the appendices.  The deadline for such a statement is April 26, 2017.  The statement would be appended to the final version of Report</w:t>
      </w:r>
      <w:r w:rsidR="00FB44F6">
        <w:t xml:space="preserve"> No. 1</w:t>
      </w:r>
      <w:r>
        <w:t xml:space="preserve"> and the appendices. </w:t>
      </w:r>
    </w:p>
    <w:p w14:paraId="418A960F" w14:textId="389899F9" w:rsidR="00331A13" w:rsidRDefault="00331A13" w:rsidP="00410E1A">
      <w:pPr>
        <w:pStyle w:val="ListParagraph"/>
        <w:numPr>
          <w:ilvl w:val="0"/>
          <w:numId w:val="6"/>
        </w:numPr>
        <w:jc w:val="both"/>
      </w:pPr>
      <w:r>
        <w:t>The CCML stated that a majority of the five voting members of the Advisory Group</w:t>
      </w:r>
      <w:r w:rsidR="00244AF7">
        <w:t xml:space="preserve"> </w:t>
      </w:r>
      <w:r>
        <w:t>was necessary</w:t>
      </w:r>
      <w:r w:rsidR="00FB44F6">
        <w:t xml:space="preserve"> to approve Report No. 1 and the appendices</w:t>
      </w:r>
      <w:r>
        <w:t xml:space="preserve">.  A “yes” vote meant approving the Report and appendices and sending them to the Mayor and the Council.  </w:t>
      </w:r>
    </w:p>
    <w:p w14:paraId="04986713" w14:textId="01C56365" w:rsidR="009223E7" w:rsidRDefault="00331A13" w:rsidP="00331A13">
      <w:pPr>
        <w:pStyle w:val="ListParagraph"/>
        <w:numPr>
          <w:ilvl w:val="0"/>
          <w:numId w:val="6"/>
        </w:numPr>
        <w:jc w:val="both"/>
      </w:pPr>
      <w:r>
        <w:t xml:space="preserve">The CCML conducted a roll-call vote.  </w:t>
      </w:r>
      <w:r w:rsidR="00410E1A">
        <w:t xml:space="preserve">All </w:t>
      </w:r>
      <w:r>
        <w:t xml:space="preserve">five </w:t>
      </w:r>
      <w:r w:rsidR="00410E1A">
        <w:t>voting mem</w:t>
      </w:r>
      <w:r w:rsidR="00FC039C">
        <w:t>bers</w:t>
      </w:r>
      <w:r>
        <w:t xml:space="preserve"> of the Advisory Group</w:t>
      </w:r>
      <w:r w:rsidR="00FC039C">
        <w:t xml:space="preserve"> voted </w:t>
      </w:r>
      <w:r w:rsidR="00FB44F6">
        <w:t>“yes</w:t>
      </w:r>
      <w:r w:rsidR="00410E1A">
        <w:t>,</w:t>
      </w:r>
      <w:r w:rsidR="00FB44F6">
        <w:t>”</w:t>
      </w:r>
      <w:r w:rsidR="00410E1A">
        <w:t xml:space="preserve"> with no abstentions.</w:t>
      </w:r>
      <w:r w:rsidR="0093531B">
        <w:rPr>
          <w:rStyle w:val="FootnoteReference"/>
        </w:rPr>
        <w:footnoteReference w:id="1"/>
      </w:r>
      <w:r w:rsidR="00410E1A">
        <w:t xml:space="preserve">    </w:t>
      </w:r>
    </w:p>
    <w:p w14:paraId="6C3374E7" w14:textId="77777777" w:rsidR="009223E7" w:rsidRDefault="009223E7" w:rsidP="009223E7">
      <w:pPr>
        <w:pStyle w:val="ListParagraph"/>
        <w:jc w:val="both"/>
      </w:pPr>
    </w:p>
    <w:p w14:paraId="6D74FF29" w14:textId="77777777" w:rsidR="00E60F2C" w:rsidRDefault="00E60F2C" w:rsidP="009223E7">
      <w:pPr>
        <w:pStyle w:val="ListParagraph"/>
        <w:jc w:val="both"/>
      </w:pPr>
    </w:p>
    <w:p w14:paraId="04D78034" w14:textId="5A9BA9A9" w:rsidR="00EF0AD6" w:rsidRPr="00FC039C" w:rsidRDefault="00EF0AD6" w:rsidP="0074666F">
      <w:pPr>
        <w:pStyle w:val="ListParagraph"/>
        <w:numPr>
          <w:ilvl w:val="0"/>
          <w:numId w:val="5"/>
        </w:numPr>
        <w:jc w:val="both"/>
        <w:rPr>
          <w:b/>
        </w:rPr>
      </w:pPr>
      <w:r w:rsidRPr="0074666F">
        <w:rPr>
          <w:b/>
        </w:rPr>
        <w:t>Discussio</w:t>
      </w:r>
      <w:r w:rsidR="009223E7">
        <w:rPr>
          <w:b/>
        </w:rPr>
        <w:t>n of First Draft of Report No. 3</w:t>
      </w:r>
      <w:r w:rsidR="00410E1A">
        <w:rPr>
          <w:b/>
        </w:rPr>
        <w:t>:</w:t>
      </w:r>
      <w:r w:rsidR="00CA6C27">
        <w:rPr>
          <w:b/>
        </w:rPr>
        <w:t xml:space="preserve"> Recommendations for Chapter</w:t>
      </w:r>
      <w:r w:rsidR="00FC039C">
        <w:rPr>
          <w:b/>
        </w:rPr>
        <w:t xml:space="preserve"> 2 of the Revised Criminal Code—</w:t>
      </w:r>
      <w:r w:rsidR="009223E7" w:rsidRPr="00FC039C">
        <w:rPr>
          <w:b/>
        </w:rPr>
        <w:t xml:space="preserve">Mistake, </w:t>
      </w:r>
      <w:r w:rsidR="00CA6C27" w:rsidRPr="00FC039C">
        <w:rPr>
          <w:b/>
        </w:rPr>
        <w:t xml:space="preserve">Deliberate </w:t>
      </w:r>
      <w:r w:rsidR="009223E7" w:rsidRPr="00FC039C">
        <w:rPr>
          <w:b/>
        </w:rPr>
        <w:t>Ignorance, and Intoxication</w:t>
      </w:r>
      <w:r w:rsidRPr="00FC039C">
        <w:rPr>
          <w:b/>
        </w:rPr>
        <w:t>.</w:t>
      </w:r>
    </w:p>
    <w:p w14:paraId="4126CE12" w14:textId="5C36CA09" w:rsidR="003C4E20" w:rsidRDefault="00410E1A" w:rsidP="009223E7">
      <w:pPr>
        <w:pStyle w:val="ListParagraph"/>
        <w:numPr>
          <w:ilvl w:val="0"/>
          <w:numId w:val="8"/>
        </w:numPr>
        <w:jc w:val="both"/>
      </w:pPr>
      <w:r>
        <w:t xml:space="preserve">Professor </w:t>
      </w:r>
      <w:r w:rsidR="00FC039C">
        <w:t>Butler asked about the relationship between the general provision on deliberate ignorance</w:t>
      </w:r>
      <w:r w:rsidR="00B765A9">
        <w:t>, §</w:t>
      </w:r>
      <w:r w:rsidR="006E17A2">
        <w:t xml:space="preserve"> 22A-</w:t>
      </w:r>
      <w:r w:rsidR="00B765A9">
        <w:t xml:space="preserve">208(c), </w:t>
      </w:r>
      <w:r w:rsidR="00FC039C">
        <w:t xml:space="preserve">and </w:t>
      </w:r>
      <w:r w:rsidR="004E0924">
        <w:t xml:space="preserve">current District law.  Staff replied that </w:t>
      </w:r>
      <w:r w:rsidR="00FC039C">
        <w:t xml:space="preserve">the provision </w:t>
      </w:r>
      <w:r w:rsidR="00FC039C" w:rsidRPr="00FC039C">
        <w:t>i</w:t>
      </w:r>
      <w:r w:rsidR="00FC039C">
        <w:t xml:space="preserve">s generally in accordance with District law.  </w:t>
      </w:r>
      <w:r w:rsidR="00FC039C" w:rsidRPr="00FC039C">
        <w:t>The D.C. Code is silent on the</w:t>
      </w:r>
      <w:r w:rsidR="00FC039C">
        <w:t xml:space="preserve"> issue of deliberate ignorance, while </w:t>
      </w:r>
      <w:r w:rsidR="00FC039C" w:rsidRPr="00FC039C">
        <w:t>the DCCA has generally recognized the applicability of the willful blindness doctrine through case law.</w:t>
      </w:r>
      <w:r w:rsidR="00BC7126">
        <w:rPr>
          <w:rStyle w:val="FootnoteReference"/>
        </w:rPr>
        <w:footnoteReference w:id="2"/>
      </w:r>
      <w:r w:rsidR="00FC039C" w:rsidRPr="00FC039C">
        <w:t xml:space="preserve">  </w:t>
      </w:r>
      <w:r w:rsidR="00FC039C">
        <w:t xml:space="preserve">However, staff explained that </w:t>
      </w:r>
      <w:r w:rsidR="00FC039C" w:rsidRPr="00FC039C">
        <w:t xml:space="preserve">reported </w:t>
      </w:r>
      <w:r w:rsidR="00FC039C">
        <w:t xml:space="preserve">DCCA </w:t>
      </w:r>
      <w:r w:rsidR="00FC039C" w:rsidRPr="00FC039C">
        <w:t xml:space="preserve">decisions addressing this doctrine are </w:t>
      </w:r>
      <w:r w:rsidR="003F1AFE">
        <w:t xml:space="preserve">scant, and those </w:t>
      </w:r>
      <w:r w:rsidR="008800D4">
        <w:t>that</w:t>
      </w:r>
      <w:r w:rsidR="00FC039C" w:rsidRPr="00FC039C">
        <w:t xml:space="preserve"> do exist provide limited direction on the approach to </w:t>
      </w:r>
      <w:r w:rsidR="00B765A9">
        <w:t xml:space="preserve">willful blindness doctrine </w:t>
      </w:r>
      <w:r w:rsidR="00FC039C">
        <w:t>envisioned by the DCCA.  The proposed general provision would fill this gap with an approach modeled on the common law, r</w:t>
      </w:r>
      <w:r w:rsidR="004A5FDA">
        <w:t>ather than the Model Penal Code</w:t>
      </w:r>
      <w:r w:rsidR="00FC039C">
        <w:t xml:space="preserve">. </w:t>
      </w:r>
    </w:p>
    <w:p w14:paraId="3C88277F" w14:textId="77777777" w:rsidR="003C4E20" w:rsidRDefault="00410E1A" w:rsidP="003C4E20">
      <w:pPr>
        <w:pStyle w:val="ListParagraph"/>
        <w:numPr>
          <w:ilvl w:val="0"/>
          <w:numId w:val="8"/>
        </w:numPr>
        <w:jc w:val="both"/>
      </w:pPr>
      <w:r>
        <w:t xml:space="preserve">Professor </w:t>
      </w:r>
      <w:r w:rsidR="003C4E20">
        <w:t xml:space="preserve">Butler explained that the willful blindness doctrine is a </w:t>
      </w:r>
      <w:r w:rsidR="004E0924">
        <w:t>legal fiction</w:t>
      </w:r>
      <w:r w:rsidR="003C4E20">
        <w:t>, which can</w:t>
      </w:r>
      <w:r w:rsidR="004E0924">
        <w:t xml:space="preserve"> </w:t>
      </w:r>
      <w:r w:rsidR="003C4E20">
        <w:t>allow</w:t>
      </w:r>
      <w:r w:rsidR="004E0924">
        <w:t xml:space="preserve"> convictions even when the defendant lacks the required mental state.</w:t>
      </w:r>
      <w:r w:rsidR="003C4E20">
        <w:t xml:space="preserve">  Staff agreed, but noted that in some instances the deliberately ignorant actor may be as culpable as the knowing actor.</w:t>
      </w:r>
      <w:r w:rsidR="004E0924">
        <w:t xml:space="preserve"> </w:t>
      </w:r>
    </w:p>
    <w:p w14:paraId="53DEFB83" w14:textId="2136D2B1" w:rsidR="003C4E20" w:rsidRDefault="00410E1A" w:rsidP="003C4E20">
      <w:pPr>
        <w:pStyle w:val="ListParagraph"/>
        <w:numPr>
          <w:ilvl w:val="0"/>
          <w:numId w:val="8"/>
        </w:numPr>
        <w:jc w:val="both"/>
      </w:pPr>
      <w:r>
        <w:t>The Public Defender Services (</w:t>
      </w:r>
      <w:r w:rsidR="004E0924">
        <w:t>PDS</w:t>
      </w:r>
      <w:r>
        <w:t>) representative</w:t>
      </w:r>
      <w:r w:rsidR="004E0924">
        <w:t xml:space="preserve"> asked whether </w:t>
      </w:r>
      <w:r w:rsidR="003C4E20">
        <w:t>the general provision on deliberate ignorance</w:t>
      </w:r>
      <w:r w:rsidR="00B765A9">
        <w:t xml:space="preserve">, § </w:t>
      </w:r>
      <w:r w:rsidR="006E17A2">
        <w:t>22A-</w:t>
      </w:r>
      <w:r w:rsidR="00B765A9">
        <w:t xml:space="preserve">208(c), </w:t>
      </w:r>
      <w:r w:rsidR="004E0924">
        <w:t xml:space="preserve">requires that the defendant have the </w:t>
      </w:r>
      <w:r w:rsidR="004E0924" w:rsidRPr="003C4E20">
        <w:rPr>
          <w:i/>
        </w:rPr>
        <w:t xml:space="preserve">sole </w:t>
      </w:r>
      <w:r w:rsidR="004E0924">
        <w:t>purpose of avoiding criminal liability, or if the d</w:t>
      </w:r>
      <w:r>
        <w:t>efendant can have other simultaneous purposes</w:t>
      </w:r>
      <w:r w:rsidR="003C4E20">
        <w:t xml:space="preserve">.  The PDS representative and </w:t>
      </w:r>
      <w:r w:rsidR="00B0692A">
        <w:t xml:space="preserve">Professor Butler highlighted a variety of examples drawing out the significance of this point.  </w:t>
      </w:r>
      <w:r w:rsidR="003C4E20" w:rsidRPr="003C4E20">
        <w:t>Staff noted</w:t>
      </w:r>
      <w:r w:rsidR="003C4E20">
        <w:t xml:space="preserve"> </w:t>
      </w:r>
      <w:r w:rsidR="003C4E20" w:rsidRPr="003C4E20">
        <w:t xml:space="preserve">that it is ambiguous </w:t>
      </w:r>
      <w:r w:rsidR="003C4E20">
        <w:t>based upon t</w:t>
      </w:r>
      <w:r w:rsidR="0090060A">
        <w:t xml:space="preserve">he proposed draft language, and </w:t>
      </w:r>
      <w:r w:rsidR="003C4E20">
        <w:t xml:space="preserve">that this was an issue worthy of further </w:t>
      </w:r>
      <w:r w:rsidR="0090060A">
        <w:t>consideration both as a matter of drafting and policy.</w:t>
      </w:r>
    </w:p>
    <w:p w14:paraId="51143BEB" w14:textId="5136CB4F" w:rsidR="00AB4AF7" w:rsidRDefault="00AB4AF7" w:rsidP="00AB4AF7">
      <w:pPr>
        <w:pStyle w:val="ListParagraph"/>
        <w:numPr>
          <w:ilvl w:val="0"/>
          <w:numId w:val="8"/>
        </w:numPr>
        <w:jc w:val="both"/>
      </w:pPr>
      <w:r>
        <w:t>The PDS representative stated she would be more comfortable with the recklessness requirement currently utilized in § 22A-208(c</w:t>
      </w:r>
      <w:proofErr w:type="gramStart"/>
      <w:r>
        <w:t>)(</w:t>
      </w:r>
      <w:proofErr w:type="gramEnd"/>
      <w:r>
        <w:t>1) if § 22A-208(c)(2) was drafted in a manner that clearly required that the defendant have the sole purpose of avoiding criminal liability.  Absent that, the PDS representative suggested that § 22A-208(c</w:t>
      </w:r>
      <w:proofErr w:type="gramStart"/>
      <w:r>
        <w:t>)(</w:t>
      </w:r>
      <w:proofErr w:type="gramEnd"/>
      <w:r>
        <w:t xml:space="preserve">1) should incorporate a separate </w:t>
      </w:r>
      <w:r w:rsidR="001564DD">
        <w:t>“</w:t>
      </w:r>
      <w:r>
        <w:t>high probability</w:t>
      </w:r>
      <w:r w:rsidR="001564DD">
        <w:t>”</w:t>
      </w:r>
      <w:r>
        <w:t xml:space="preserve"> requirement (instead of recklessness). </w:t>
      </w:r>
    </w:p>
    <w:p w14:paraId="160B272B" w14:textId="39152BC9" w:rsidR="009518D4" w:rsidRDefault="0090060A" w:rsidP="009518D4">
      <w:pPr>
        <w:pStyle w:val="ListParagraph"/>
        <w:numPr>
          <w:ilvl w:val="0"/>
          <w:numId w:val="8"/>
        </w:numPr>
        <w:jc w:val="both"/>
      </w:pPr>
      <w:r>
        <w:t xml:space="preserve">The </w:t>
      </w:r>
      <w:r w:rsidR="009518D4">
        <w:t>PDS</w:t>
      </w:r>
      <w:r>
        <w:t xml:space="preserve"> representative</w:t>
      </w:r>
      <w:r w:rsidR="009518D4">
        <w:t xml:space="preserve"> </w:t>
      </w:r>
      <w:r w:rsidR="00B43C67">
        <w:t>asked</w:t>
      </w:r>
      <w:r w:rsidR="00E61750">
        <w:t>: (1) why the term</w:t>
      </w:r>
      <w:r w:rsidR="006B4258">
        <w:t xml:space="preserve"> </w:t>
      </w:r>
      <w:r w:rsidR="00B43C67">
        <w:t>“self-induced</w:t>
      </w:r>
      <w:r w:rsidR="006B4258">
        <w:t>,</w:t>
      </w:r>
      <w:r w:rsidR="00B43C67">
        <w:t>”</w:t>
      </w:r>
      <w:r w:rsidR="006B4258">
        <w:t xml:space="preserve"> rather than “voluntary,” is</w:t>
      </w:r>
      <w:r w:rsidR="00E61750">
        <w:t xml:space="preserve"> used in th</w:t>
      </w:r>
      <w:r w:rsidR="00D543A4">
        <w:t xml:space="preserve">e </w:t>
      </w:r>
      <w:r w:rsidR="00E61750">
        <w:t>intoxication</w:t>
      </w:r>
      <w:r w:rsidR="00D543A4">
        <w:t xml:space="preserve"> imputation</w:t>
      </w:r>
      <w:r w:rsidR="00E61750">
        <w:t xml:space="preserve"> provision</w:t>
      </w:r>
      <w:r w:rsidR="00D543A4">
        <w:t xml:space="preserve">, § </w:t>
      </w:r>
      <w:r w:rsidR="006E17A2">
        <w:t>22A-</w:t>
      </w:r>
      <w:r w:rsidR="00D543A4">
        <w:t>209(c)</w:t>
      </w:r>
      <w:r w:rsidR="00E61750">
        <w:t xml:space="preserve">; (2) why the term is not defined; and (3) how a variety of policy issues dealing with </w:t>
      </w:r>
      <w:r w:rsidR="00DA57EB">
        <w:t xml:space="preserve">the </w:t>
      </w:r>
      <w:r w:rsidR="00E61750">
        <w:t xml:space="preserve">definition of the term should be resolved (including </w:t>
      </w:r>
      <w:r w:rsidR="003F1AFE">
        <w:t xml:space="preserve">the unexpected interaction of multiple pills, which lead to severe intoxication).  </w:t>
      </w:r>
      <w:r w:rsidR="009518D4">
        <w:t>Staff replied that the term</w:t>
      </w:r>
      <w:r w:rsidR="003F1AFE">
        <w:t xml:space="preserve"> “self-induced,” rather than</w:t>
      </w:r>
      <w:r w:rsidR="009518D4">
        <w:t xml:space="preserve"> “voluntary</w:t>
      </w:r>
      <w:r w:rsidR="003F1AFE">
        <w:t>,</w:t>
      </w:r>
      <w:r w:rsidR="009518D4">
        <w:t>”</w:t>
      </w:r>
      <w:r w:rsidR="003F1AFE">
        <w:t xml:space="preserve"> was used </w:t>
      </w:r>
      <w:r w:rsidR="00D543A4">
        <w:t>in §</w:t>
      </w:r>
      <w:r w:rsidR="006E17A2">
        <w:t xml:space="preserve"> 22A-</w:t>
      </w:r>
      <w:r w:rsidR="00D543A4">
        <w:t xml:space="preserve">209(c) </w:t>
      </w:r>
      <w:r w:rsidR="003F1AFE">
        <w:t>to</w:t>
      </w:r>
      <w:r w:rsidR="009518D4">
        <w:t xml:space="preserve"> avoid confusion with the </w:t>
      </w:r>
      <w:r w:rsidR="003F1AFE">
        <w:t xml:space="preserve">general definition of voluntariness.  Staff explained that the term is not defined because a statutory definition of the phrase is a minority trend, </w:t>
      </w:r>
      <w:r w:rsidR="003F1AFE">
        <w:lastRenderedPageBreak/>
        <w:t>an</w:t>
      </w:r>
      <w:r w:rsidR="00D543A4">
        <w:t xml:space="preserve">d because </w:t>
      </w:r>
      <w:r w:rsidR="003F1AFE">
        <w:t>the definition utilized in that minority trend may be problematic for a variety of reasons.</w:t>
      </w:r>
    </w:p>
    <w:p w14:paraId="3C255C2A" w14:textId="3F32E848" w:rsidR="009518D4" w:rsidRDefault="00B43C67" w:rsidP="009518D4">
      <w:pPr>
        <w:pStyle w:val="ListParagraph"/>
        <w:numPr>
          <w:ilvl w:val="1"/>
          <w:numId w:val="8"/>
        </w:numPr>
        <w:jc w:val="both"/>
      </w:pPr>
      <w:r>
        <w:t xml:space="preserve">Professor </w:t>
      </w:r>
      <w:r w:rsidR="009518D4">
        <w:t xml:space="preserve">Butler </w:t>
      </w:r>
      <w:r w:rsidR="003F1AFE">
        <w:t xml:space="preserve">noted the importance of legislatively resolving important policy issues rather than leaving them to the courts. </w:t>
      </w:r>
    </w:p>
    <w:p w14:paraId="5FC927A2" w14:textId="7C438015" w:rsidR="00C34421" w:rsidRDefault="00B43C67" w:rsidP="00C13AA9">
      <w:pPr>
        <w:pStyle w:val="ListParagraph"/>
        <w:numPr>
          <w:ilvl w:val="0"/>
          <w:numId w:val="8"/>
        </w:numPr>
        <w:jc w:val="both"/>
      </w:pPr>
      <w:r>
        <w:t xml:space="preserve">The Office of the Attorney General (OAG) representative asked </w:t>
      </w:r>
      <w:r w:rsidR="00C13AA9">
        <w:t xml:space="preserve">why </w:t>
      </w:r>
      <w:r>
        <w:t>the</w:t>
      </w:r>
      <w:r w:rsidR="003F1AFE">
        <w:t xml:space="preserve"> general intoxication provision does not specifically address the relationship between intoxication and </w:t>
      </w:r>
      <w:r w:rsidR="00C13AA9">
        <w:t>negligence</w:t>
      </w:r>
      <w:r w:rsidR="00097FD5">
        <w:t xml:space="preserve"> under §</w:t>
      </w:r>
      <w:r w:rsidR="006E17A2">
        <w:t xml:space="preserve"> 22A-</w:t>
      </w:r>
      <w:r w:rsidR="00097FD5">
        <w:t>209(b)—whereas that provision</w:t>
      </w:r>
      <w:r w:rsidR="003F1AFE">
        <w:t xml:space="preserve"> does</w:t>
      </w:r>
      <w:r w:rsidR="003F1AFE" w:rsidRPr="003F1AFE">
        <w:t xml:space="preserve"> </w:t>
      </w:r>
      <w:r w:rsidR="003F1AFE">
        <w:t>address the relationship between intoxication and purpose, knowledge, and reckle</w:t>
      </w:r>
      <w:r w:rsidR="00097FD5">
        <w:t>ssness.  Staff explained that the topic</w:t>
      </w:r>
      <w:r w:rsidR="003F1AFE">
        <w:t xml:space="preserve"> is generally addressed in the explanatory note, and that there exists a range of difficult policy issues that fall within the scope of the relationship between intoxication and negligence.  </w:t>
      </w:r>
      <w:r>
        <w:t xml:space="preserve">The </w:t>
      </w:r>
      <w:r w:rsidR="00C13AA9">
        <w:t xml:space="preserve">OAG </w:t>
      </w:r>
      <w:r>
        <w:t xml:space="preserve">representative </w:t>
      </w:r>
      <w:r w:rsidR="00C13AA9">
        <w:t xml:space="preserve">said he understood why it was left out, but suggested </w:t>
      </w:r>
      <w:r>
        <w:t>the section</w:t>
      </w:r>
      <w:r w:rsidR="003F1AFE">
        <w:t xml:space="preserve"> might still be clearer if it includes language addressing this issue. </w:t>
      </w:r>
      <w:r w:rsidR="00C13AA9">
        <w:t xml:space="preserve"> </w:t>
      </w:r>
    </w:p>
    <w:p w14:paraId="367F9A07" w14:textId="77777777" w:rsidR="00410E1A" w:rsidRDefault="00410E1A" w:rsidP="00410E1A">
      <w:pPr>
        <w:pStyle w:val="ListParagraph"/>
        <w:jc w:val="both"/>
      </w:pPr>
    </w:p>
    <w:p w14:paraId="5C45676A" w14:textId="77777777" w:rsidR="00B954C4" w:rsidRDefault="004E0924" w:rsidP="00B954C4">
      <w:pPr>
        <w:pStyle w:val="ListParagraph"/>
        <w:numPr>
          <w:ilvl w:val="0"/>
          <w:numId w:val="5"/>
        </w:numPr>
        <w:jc w:val="both"/>
        <w:rPr>
          <w:b/>
        </w:rPr>
      </w:pPr>
      <w:r>
        <w:rPr>
          <w:b/>
        </w:rPr>
        <w:t xml:space="preserve">Discussion </w:t>
      </w:r>
      <w:r w:rsidR="00410E1A">
        <w:rPr>
          <w:b/>
        </w:rPr>
        <w:t xml:space="preserve">of First Draft of Report No. 4: </w:t>
      </w:r>
      <w:r w:rsidR="0042257D">
        <w:rPr>
          <w:b/>
        </w:rPr>
        <w:t>Recommendations for Chapter 1 of the Revised Crimi</w:t>
      </w:r>
      <w:r w:rsidR="00410E1A">
        <w:rPr>
          <w:b/>
        </w:rPr>
        <w:t>nal Code—Preliminary Provisions</w:t>
      </w:r>
      <w:r w:rsidR="0042257D">
        <w:rPr>
          <w:b/>
        </w:rPr>
        <w:t xml:space="preserve">.  </w:t>
      </w:r>
    </w:p>
    <w:p w14:paraId="07D0106F" w14:textId="7294EF2F" w:rsidR="00B954C4" w:rsidRPr="00B954C4" w:rsidRDefault="00B954C4" w:rsidP="00B954C4">
      <w:pPr>
        <w:pStyle w:val="ListParagraph"/>
        <w:numPr>
          <w:ilvl w:val="1"/>
          <w:numId w:val="5"/>
        </w:numPr>
        <w:jc w:val="both"/>
        <w:rPr>
          <w:b/>
        </w:rPr>
      </w:pPr>
      <w:r>
        <w:t>The O</w:t>
      </w:r>
      <w:r w:rsidR="00A662AF" w:rsidRPr="00A662AF">
        <w:t>AG</w:t>
      </w:r>
      <w:r w:rsidR="00F034EA">
        <w:t xml:space="preserve"> representative</w:t>
      </w:r>
      <w:r w:rsidR="00A662AF" w:rsidRPr="00A662AF">
        <w:t xml:space="preserve"> raised</w:t>
      </w:r>
      <w:r w:rsidR="00091874">
        <w:t xml:space="preserve"> the</w:t>
      </w:r>
      <w:r w:rsidR="00A662AF" w:rsidRPr="00A662AF">
        <w:t xml:space="preserve"> issue of </w:t>
      </w:r>
      <w:r w:rsidR="00382745">
        <w:t>which</w:t>
      </w:r>
      <w:r w:rsidR="00A662AF" w:rsidRPr="00A662AF">
        <w:t xml:space="preserve"> offenses might implicate the rule </w:t>
      </w:r>
      <w:r w:rsidR="00382745">
        <w:t>in § 22A-101(c)</w:t>
      </w:r>
      <w:r w:rsidR="00FD7774">
        <w:t xml:space="preserve">, which </w:t>
      </w:r>
      <w:r w:rsidR="00D0409A">
        <w:t xml:space="preserve">states that offenses committed prior to the effective date of the Revised Criminal Code are subject to laws in effect at that time.  </w:t>
      </w:r>
      <w:r w:rsidR="004B72AF">
        <w:t>Under the rule, a</w:t>
      </w:r>
      <w:r w:rsidR="00D0409A">
        <w:t xml:space="preserve">n </w:t>
      </w:r>
      <w:r w:rsidR="006D1F02" w:rsidRPr="00884DE1">
        <w:t>offense is “committed prior to the effective date” if any one of the elements of the offense was satisfied prior to the effective date.</w:t>
      </w:r>
    </w:p>
    <w:p w14:paraId="2AFC232B" w14:textId="77777777" w:rsidR="00B954C4" w:rsidRPr="00B954C4" w:rsidRDefault="00F034EA" w:rsidP="00B954C4">
      <w:pPr>
        <w:pStyle w:val="ListParagraph"/>
        <w:numPr>
          <w:ilvl w:val="1"/>
          <w:numId w:val="5"/>
        </w:numPr>
        <w:jc w:val="both"/>
        <w:rPr>
          <w:b/>
        </w:rPr>
      </w:pPr>
      <w:r>
        <w:t xml:space="preserve">The </w:t>
      </w:r>
      <w:r w:rsidR="00A662AF" w:rsidRPr="00A662AF">
        <w:t>PDS</w:t>
      </w:r>
      <w:r>
        <w:t xml:space="preserve"> Visiting Attendee</w:t>
      </w:r>
      <w:r w:rsidR="00A44AEA">
        <w:t xml:space="preserve"> asked how this rule</w:t>
      </w:r>
      <w:r w:rsidR="00A662AF" w:rsidRPr="00A662AF">
        <w:t xml:space="preserve"> would work if conspiracy were a theory of liability, but if conspiracy itself were not charged.  </w:t>
      </w:r>
    </w:p>
    <w:p w14:paraId="76888EA5" w14:textId="77777777" w:rsidR="00B954C4" w:rsidRPr="00B954C4" w:rsidRDefault="0053465F" w:rsidP="00B954C4">
      <w:pPr>
        <w:pStyle w:val="ListParagraph"/>
        <w:numPr>
          <w:ilvl w:val="1"/>
          <w:numId w:val="5"/>
        </w:numPr>
        <w:jc w:val="both"/>
        <w:rPr>
          <w:b/>
        </w:rPr>
      </w:pPr>
      <w:r>
        <w:t xml:space="preserve">Staff noted that this issue may become clearer when the Commission begins work on revising the conspiracy offense.  </w:t>
      </w:r>
      <w:r w:rsidR="003117A6">
        <w:t>However, if any element of an offense is committed before the effective date of the Revised Criminal Code, then the old law would apply.</w:t>
      </w:r>
    </w:p>
    <w:p w14:paraId="3277DE3F" w14:textId="06436689" w:rsidR="0038130A" w:rsidRDefault="0038130A" w:rsidP="0038130A">
      <w:pPr>
        <w:pStyle w:val="ListParagraph"/>
        <w:numPr>
          <w:ilvl w:val="1"/>
          <w:numId w:val="5"/>
        </w:numPr>
        <w:jc w:val="both"/>
      </w:pPr>
      <w:r>
        <w:t xml:space="preserve">The OAG representative also asked about the importance of the word “structure” in § 22A-102, which proposes codifying rules of interpretation for the Revised Criminal Code.  OAG asked whether structure was actually a part of the “plain language” of the statute.  If so, OAG suggested that the statute could be redrafted such that the “plain language” includes the text’s structure as a matter for primary consideration when interpreting a statute.  Staff said that DCCA case law seemed to consider structure as both an aspect of plain language and as a secondary consideration.  Staff </w:t>
      </w:r>
      <w:r w:rsidR="00E60F2C">
        <w:t>suggested</w:t>
      </w:r>
      <w:r>
        <w:t xml:space="preserve"> that the current draft does the best job of maintaining the current ambiguity in District law.  </w:t>
      </w:r>
    </w:p>
    <w:p w14:paraId="295733E5" w14:textId="438CF402" w:rsidR="00B954C4" w:rsidRPr="00B954C4" w:rsidRDefault="006E17A2" w:rsidP="00B954C4">
      <w:pPr>
        <w:pStyle w:val="ListParagraph"/>
        <w:numPr>
          <w:ilvl w:val="1"/>
          <w:numId w:val="5"/>
        </w:numPr>
        <w:jc w:val="both"/>
        <w:rPr>
          <w:b/>
        </w:rPr>
      </w:pPr>
      <w:r>
        <w:t xml:space="preserve">The </w:t>
      </w:r>
      <w:r w:rsidR="004B6B93">
        <w:t xml:space="preserve">OAG </w:t>
      </w:r>
      <w:r>
        <w:t xml:space="preserve">representative </w:t>
      </w:r>
      <w:r w:rsidR="004B6B93">
        <w:t>also asked about the phrase “if necessary”</w:t>
      </w:r>
      <w:r w:rsidR="001726A4">
        <w:t xml:space="preserve"> in § 22A-102(a).</w:t>
      </w:r>
      <w:r w:rsidR="004B6B93">
        <w:t xml:space="preserve">  </w:t>
      </w:r>
      <w:r>
        <w:t xml:space="preserve">The </w:t>
      </w:r>
      <w:r w:rsidR="004B6B93">
        <w:t>OAG</w:t>
      </w:r>
      <w:r>
        <w:t xml:space="preserve"> representative</w:t>
      </w:r>
      <w:r w:rsidR="004B6B93">
        <w:t xml:space="preserve"> said it was not clear from the statute when courts should go beyond plain language and look at structure, history, and purpose.  </w:t>
      </w:r>
      <w:r w:rsidR="0053465F">
        <w:t>Staff replied that current District case law is unclear</w:t>
      </w:r>
      <w:r w:rsidR="00E60F2C">
        <w:t>:</w:t>
      </w:r>
      <w:r w:rsidR="003117A6">
        <w:t xml:space="preserve"> no DCCA opinion </w:t>
      </w:r>
      <w:r w:rsidR="003117A6">
        <w:lastRenderedPageBreak/>
        <w:t xml:space="preserve">has clearly stated when looking beyond the plain language of a statute is “necessary.”  The </w:t>
      </w:r>
      <w:r w:rsidR="00F034EA">
        <w:t>draft proposed</w:t>
      </w:r>
      <w:r w:rsidR="003117A6">
        <w:t xml:space="preserve"> </w:t>
      </w:r>
      <w:r w:rsidR="0053465F">
        <w:t>language was merely intended to retain current law with</w:t>
      </w:r>
      <w:r w:rsidR="003117A6">
        <w:t xml:space="preserve"> this ambiguity</w:t>
      </w:r>
      <w:r w:rsidR="0053465F">
        <w:t xml:space="preserve"> intact.  </w:t>
      </w:r>
    </w:p>
    <w:p w14:paraId="68376B85" w14:textId="1FDCACDD" w:rsidR="0053465F" w:rsidRPr="0038130A" w:rsidRDefault="003117A6" w:rsidP="0038130A">
      <w:pPr>
        <w:pStyle w:val="ListParagraph"/>
        <w:numPr>
          <w:ilvl w:val="1"/>
          <w:numId w:val="5"/>
        </w:numPr>
        <w:jc w:val="both"/>
      </w:pPr>
      <w:r>
        <w:t xml:space="preserve">Finally, </w:t>
      </w:r>
      <w:r w:rsidR="006E17A2">
        <w:t xml:space="preserve">the </w:t>
      </w:r>
      <w:r w:rsidR="0053465F">
        <w:t xml:space="preserve">OAG </w:t>
      </w:r>
      <w:r w:rsidR="006E17A2">
        <w:t xml:space="preserve">representative </w:t>
      </w:r>
      <w:r w:rsidR="0053465F">
        <w:t xml:space="preserve">recommended using </w:t>
      </w:r>
      <w:r w:rsidR="00C7247F">
        <w:t xml:space="preserve">the phrase </w:t>
      </w:r>
      <w:r w:rsidR="0053465F">
        <w:t xml:space="preserve">“applies only to this title” instead of </w:t>
      </w:r>
      <w:r w:rsidR="00C7247F">
        <w:t xml:space="preserve">the phrase </w:t>
      </w:r>
      <w:r w:rsidR="0053465F">
        <w:t>“this title alone</w:t>
      </w:r>
      <w:r>
        <w:t xml:space="preserve">” in </w:t>
      </w:r>
      <w:r w:rsidR="006B4323">
        <w:t xml:space="preserve">§ </w:t>
      </w:r>
      <w:r>
        <w:t>22A-103(a).</w:t>
      </w:r>
      <w:r w:rsidR="0038130A">
        <w:t xml:space="preserve">  Staff said that this drafting preference would be considered.</w:t>
      </w:r>
    </w:p>
    <w:p w14:paraId="3185C0C1" w14:textId="77777777" w:rsidR="00410E1A" w:rsidRPr="00A662AF" w:rsidRDefault="00410E1A" w:rsidP="00410E1A">
      <w:pPr>
        <w:pStyle w:val="ListParagraph"/>
        <w:ind w:left="792"/>
        <w:jc w:val="both"/>
      </w:pPr>
    </w:p>
    <w:p w14:paraId="4302561B" w14:textId="77777777" w:rsidR="0074666F" w:rsidRPr="0074666F" w:rsidRDefault="0074666F" w:rsidP="0074666F">
      <w:pPr>
        <w:pStyle w:val="ListParagraph"/>
        <w:numPr>
          <w:ilvl w:val="0"/>
          <w:numId w:val="5"/>
        </w:numPr>
        <w:jc w:val="both"/>
        <w:rPr>
          <w:b/>
        </w:rPr>
      </w:pPr>
      <w:r w:rsidRPr="0074666F">
        <w:rPr>
          <w:b/>
        </w:rPr>
        <w:t>Adjournment.</w:t>
      </w:r>
    </w:p>
    <w:p w14:paraId="4BAE24FF" w14:textId="6569D13B" w:rsidR="0074666F" w:rsidRDefault="00FC63F1" w:rsidP="0074666F">
      <w:pPr>
        <w:pStyle w:val="ListParagraph"/>
        <w:numPr>
          <w:ilvl w:val="0"/>
          <w:numId w:val="9"/>
        </w:numPr>
        <w:jc w:val="both"/>
      </w:pPr>
      <w:r>
        <w:t>The meeting was adjourned at 3:</w:t>
      </w:r>
      <w:r w:rsidR="0042257D">
        <w:t xml:space="preserve">30 </w:t>
      </w:r>
      <w:r w:rsidR="0074666F">
        <w:t xml:space="preserve">pm.  </w:t>
      </w:r>
    </w:p>
    <w:p w14:paraId="4E89942C" w14:textId="08003B68" w:rsidR="0042257D" w:rsidRPr="00522F20" w:rsidRDefault="0042257D" w:rsidP="0074666F">
      <w:pPr>
        <w:pStyle w:val="ListParagraph"/>
        <w:numPr>
          <w:ilvl w:val="0"/>
          <w:numId w:val="9"/>
        </w:numPr>
        <w:jc w:val="both"/>
      </w:pPr>
      <w:r>
        <w:t>S</w:t>
      </w:r>
      <w:r w:rsidR="00F034EA">
        <w:t>taff will e-mail Advisory Group</w:t>
      </w:r>
      <w:r>
        <w:t xml:space="preserve"> members </w:t>
      </w:r>
      <w:r w:rsidR="00F034EA">
        <w:t>the</w:t>
      </w:r>
      <w:r>
        <w:t xml:space="preserve"> deadlines for </w:t>
      </w:r>
      <w:r w:rsidR="00F034EA">
        <w:t>written comments on the First Drafts of</w:t>
      </w:r>
      <w:r>
        <w:t xml:space="preserve"> </w:t>
      </w:r>
      <w:r w:rsidR="00F034EA">
        <w:t>Report No. 3 and No. 4, as well as written statements to be appended to the final version of Report No. 1 and the appendices on enactment</w:t>
      </w:r>
      <w:r>
        <w:t xml:space="preserve">.  </w:t>
      </w:r>
    </w:p>
    <w:sectPr w:rsidR="0042257D" w:rsidRPr="00522F2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8F36B" w14:textId="77777777" w:rsidR="00A5730E" w:rsidRDefault="00A5730E" w:rsidP="006A1FF4">
      <w:pPr>
        <w:spacing w:line="240" w:lineRule="auto"/>
      </w:pPr>
      <w:r>
        <w:separator/>
      </w:r>
    </w:p>
  </w:endnote>
  <w:endnote w:type="continuationSeparator" w:id="0">
    <w:p w14:paraId="0927F8D8" w14:textId="77777777" w:rsidR="00A5730E" w:rsidRDefault="00A5730E" w:rsidP="006A1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633272"/>
      <w:docPartObj>
        <w:docPartGallery w:val="Page Numbers (Bottom of Page)"/>
        <w:docPartUnique/>
      </w:docPartObj>
    </w:sdtPr>
    <w:sdtEndPr>
      <w:rPr>
        <w:noProof/>
      </w:rPr>
    </w:sdtEndPr>
    <w:sdtContent>
      <w:p w14:paraId="0AE08227" w14:textId="77777777" w:rsidR="00097FD5" w:rsidRDefault="00097FD5">
        <w:pPr>
          <w:pStyle w:val="Footer"/>
          <w:jc w:val="center"/>
        </w:pPr>
        <w:r>
          <w:fldChar w:fldCharType="begin"/>
        </w:r>
        <w:r>
          <w:instrText xml:space="preserve"> PAGE   \* MERGEFORMAT </w:instrText>
        </w:r>
        <w:r>
          <w:fldChar w:fldCharType="separate"/>
        </w:r>
        <w:r w:rsidR="00073603">
          <w:rPr>
            <w:noProof/>
          </w:rPr>
          <w:t>1</w:t>
        </w:r>
        <w:r>
          <w:rPr>
            <w:noProof/>
          </w:rPr>
          <w:fldChar w:fldCharType="end"/>
        </w:r>
      </w:p>
    </w:sdtContent>
  </w:sdt>
  <w:p w14:paraId="61EDC617" w14:textId="77777777" w:rsidR="00097FD5" w:rsidRDefault="00097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1DA78" w14:textId="77777777" w:rsidR="00A5730E" w:rsidRDefault="00A5730E" w:rsidP="006A1FF4">
      <w:pPr>
        <w:spacing w:line="240" w:lineRule="auto"/>
      </w:pPr>
      <w:r>
        <w:separator/>
      </w:r>
    </w:p>
  </w:footnote>
  <w:footnote w:type="continuationSeparator" w:id="0">
    <w:p w14:paraId="1CDDEB3A" w14:textId="77777777" w:rsidR="00A5730E" w:rsidRDefault="00A5730E" w:rsidP="006A1FF4">
      <w:pPr>
        <w:spacing w:line="240" w:lineRule="auto"/>
      </w:pPr>
      <w:r>
        <w:continuationSeparator/>
      </w:r>
    </w:p>
  </w:footnote>
  <w:footnote w:id="1">
    <w:p w14:paraId="3532E8B6" w14:textId="62B9164F" w:rsidR="00B74CEB" w:rsidRDefault="0093531B" w:rsidP="00167257">
      <w:pPr>
        <w:ind w:left="5040" w:hanging="5040"/>
        <w:rPr>
          <w:color w:val="auto"/>
          <w:sz w:val="20"/>
        </w:rPr>
      </w:pPr>
      <w:r w:rsidRPr="0093531B">
        <w:rPr>
          <w:rStyle w:val="FootnoteReference"/>
          <w:color w:val="auto"/>
          <w:sz w:val="20"/>
        </w:rPr>
        <w:footnoteRef/>
      </w:r>
      <w:r w:rsidRPr="0093531B">
        <w:rPr>
          <w:color w:val="auto"/>
          <w:sz w:val="20"/>
        </w:rPr>
        <w:t xml:space="preserve"> </w:t>
      </w:r>
      <w:r w:rsidR="00167257">
        <w:rPr>
          <w:color w:val="auto"/>
          <w:sz w:val="20"/>
        </w:rPr>
        <w:t>T</w:t>
      </w:r>
      <w:r w:rsidRPr="0093531B">
        <w:rPr>
          <w:color w:val="auto"/>
          <w:sz w:val="20"/>
        </w:rPr>
        <w:t>he five voting members of the Advisory Group are currently:</w:t>
      </w:r>
      <w:r w:rsidR="00250BD4">
        <w:rPr>
          <w:color w:val="auto"/>
          <w:sz w:val="20"/>
        </w:rPr>
        <w:t xml:space="preserve"> </w:t>
      </w:r>
      <w:r w:rsidRPr="0093531B">
        <w:rPr>
          <w:color w:val="auto"/>
          <w:sz w:val="20"/>
        </w:rPr>
        <w:t>1) Professor</w:t>
      </w:r>
      <w:r>
        <w:rPr>
          <w:color w:val="auto"/>
          <w:sz w:val="20"/>
        </w:rPr>
        <w:t xml:space="preserve"> </w:t>
      </w:r>
      <w:r w:rsidR="00B74CEB">
        <w:rPr>
          <w:color w:val="auto"/>
          <w:sz w:val="20"/>
        </w:rPr>
        <w:t xml:space="preserve">Donald </w:t>
      </w:r>
      <w:proofErr w:type="spellStart"/>
      <w:r w:rsidR="00B74CEB">
        <w:rPr>
          <w:color w:val="auto"/>
          <w:sz w:val="20"/>
        </w:rPr>
        <w:t>Braman</w:t>
      </w:r>
      <w:proofErr w:type="spellEnd"/>
      <w:r w:rsidR="00167257">
        <w:rPr>
          <w:color w:val="auto"/>
          <w:sz w:val="20"/>
        </w:rPr>
        <w:t xml:space="preserve"> </w:t>
      </w:r>
      <w:r w:rsidRPr="0093531B">
        <w:rPr>
          <w:color w:val="auto"/>
          <w:sz w:val="20"/>
        </w:rPr>
        <w:t xml:space="preserve">(Council Appointee); </w:t>
      </w:r>
    </w:p>
    <w:p w14:paraId="613FF9B9" w14:textId="77777777" w:rsidR="00B74CEB" w:rsidRDefault="0093531B" w:rsidP="00B74CEB">
      <w:pPr>
        <w:ind w:left="5040" w:hanging="5040"/>
        <w:rPr>
          <w:color w:val="auto"/>
          <w:sz w:val="20"/>
        </w:rPr>
      </w:pPr>
      <w:r w:rsidRPr="0093531B">
        <w:rPr>
          <w:color w:val="auto"/>
          <w:sz w:val="20"/>
        </w:rPr>
        <w:t xml:space="preserve">2) Professor </w:t>
      </w:r>
      <w:r w:rsidR="00B74CEB">
        <w:rPr>
          <w:color w:val="auto"/>
          <w:sz w:val="20"/>
        </w:rPr>
        <w:t>Paul Butler (Council Appointee)</w:t>
      </w:r>
      <w:r w:rsidRPr="0093531B">
        <w:rPr>
          <w:color w:val="auto"/>
          <w:sz w:val="20"/>
        </w:rPr>
        <w:t xml:space="preserve">; </w:t>
      </w:r>
      <w:r w:rsidR="00167257">
        <w:rPr>
          <w:color w:val="auto"/>
          <w:sz w:val="20"/>
        </w:rPr>
        <w:t xml:space="preserve">3) </w:t>
      </w:r>
      <w:r w:rsidRPr="0093531B">
        <w:rPr>
          <w:color w:val="auto"/>
          <w:sz w:val="20"/>
        </w:rPr>
        <w:t xml:space="preserve">Ms. Renata </w:t>
      </w:r>
      <w:r w:rsidR="00167257">
        <w:rPr>
          <w:color w:val="auto"/>
          <w:sz w:val="20"/>
        </w:rPr>
        <w:t xml:space="preserve">Kendrick </w:t>
      </w:r>
      <w:r w:rsidRPr="0093531B">
        <w:rPr>
          <w:color w:val="auto"/>
          <w:sz w:val="20"/>
        </w:rPr>
        <w:t>Cooper (Designee of</w:t>
      </w:r>
      <w:r>
        <w:rPr>
          <w:color w:val="auto"/>
          <w:sz w:val="20"/>
        </w:rPr>
        <w:t xml:space="preserve"> </w:t>
      </w:r>
      <w:r w:rsidRPr="0093531B">
        <w:rPr>
          <w:color w:val="auto"/>
          <w:sz w:val="20"/>
        </w:rPr>
        <w:t xml:space="preserve">the United States </w:t>
      </w:r>
    </w:p>
    <w:p w14:paraId="4065B413" w14:textId="77777777" w:rsidR="00E60F2C" w:rsidRDefault="0093531B" w:rsidP="00E60F2C">
      <w:pPr>
        <w:ind w:left="5040" w:hanging="5040"/>
        <w:rPr>
          <w:color w:val="auto"/>
          <w:sz w:val="20"/>
        </w:rPr>
      </w:pPr>
      <w:r w:rsidRPr="0093531B">
        <w:rPr>
          <w:color w:val="auto"/>
          <w:sz w:val="20"/>
        </w:rPr>
        <w:t>Attorney</w:t>
      </w:r>
      <w:r w:rsidR="00DD01D7">
        <w:rPr>
          <w:color w:val="auto"/>
          <w:sz w:val="20"/>
        </w:rPr>
        <w:t xml:space="preserve"> </w:t>
      </w:r>
      <w:r w:rsidRPr="0093531B">
        <w:rPr>
          <w:color w:val="auto"/>
          <w:sz w:val="20"/>
        </w:rPr>
        <w:t xml:space="preserve">for the District of Columbia); </w:t>
      </w:r>
      <w:r w:rsidR="00167257">
        <w:rPr>
          <w:color w:val="auto"/>
          <w:sz w:val="20"/>
        </w:rPr>
        <w:t xml:space="preserve">4) </w:t>
      </w:r>
      <w:r w:rsidRPr="0093531B">
        <w:rPr>
          <w:color w:val="auto"/>
          <w:sz w:val="20"/>
        </w:rPr>
        <w:t xml:space="preserve">Ms. Laura Hankins </w:t>
      </w:r>
      <w:r>
        <w:rPr>
          <w:color w:val="auto"/>
          <w:sz w:val="20"/>
        </w:rPr>
        <w:t xml:space="preserve">(Designee </w:t>
      </w:r>
      <w:r w:rsidRPr="0093531B">
        <w:rPr>
          <w:color w:val="auto"/>
          <w:sz w:val="20"/>
        </w:rPr>
        <w:t xml:space="preserve">of the Director of the Public </w:t>
      </w:r>
      <w:r w:rsidR="00E60F2C">
        <w:rPr>
          <w:color w:val="auto"/>
          <w:sz w:val="20"/>
        </w:rPr>
        <w:t xml:space="preserve"> </w:t>
      </w:r>
      <w:r w:rsidRPr="0093531B">
        <w:rPr>
          <w:color w:val="auto"/>
          <w:sz w:val="20"/>
        </w:rPr>
        <w:t xml:space="preserve">Defender </w:t>
      </w:r>
    </w:p>
    <w:p w14:paraId="5E1AA56C" w14:textId="77777777" w:rsidR="00E60F2C" w:rsidRDefault="0093531B" w:rsidP="00E60F2C">
      <w:pPr>
        <w:ind w:left="5040" w:hanging="5040"/>
        <w:rPr>
          <w:color w:val="auto"/>
          <w:sz w:val="20"/>
        </w:rPr>
      </w:pPr>
      <w:r w:rsidRPr="0093531B">
        <w:rPr>
          <w:color w:val="auto"/>
          <w:sz w:val="20"/>
        </w:rPr>
        <w:t>Service for the Distri</w:t>
      </w:r>
      <w:r>
        <w:rPr>
          <w:color w:val="auto"/>
          <w:sz w:val="20"/>
        </w:rPr>
        <w:t xml:space="preserve">ct of Columbia; and 5) Mr. Dave </w:t>
      </w:r>
      <w:r w:rsidRPr="0093531B">
        <w:rPr>
          <w:color w:val="auto"/>
          <w:sz w:val="20"/>
        </w:rPr>
        <w:t xml:space="preserve">Rosenthal (Designee of the Attorney General for the District </w:t>
      </w:r>
    </w:p>
    <w:p w14:paraId="0C82C06F" w14:textId="3F48F893" w:rsidR="0093531B" w:rsidRPr="00E60F2C" w:rsidRDefault="0093531B" w:rsidP="00E60F2C">
      <w:pPr>
        <w:ind w:left="5040" w:hanging="5040"/>
        <w:rPr>
          <w:color w:val="auto"/>
          <w:sz w:val="20"/>
        </w:rPr>
      </w:pPr>
      <w:proofErr w:type="gramStart"/>
      <w:r w:rsidRPr="0093531B">
        <w:rPr>
          <w:color w:val="auto"/>
          <w:sz w:val="20"/>
        </w:rPr>
        <w:t>of</w:t>
      </w:r>
      <w:proofErr w:type="gramEnd"/>
      <w:r w:rsidRPr="0093531B">
        <w:rPr>
          <w:color w:val="auto"/>
          <w:sz w:val="20"/>
        </w:rPr>
        <w:t xml:space="preserve"> Columbia).</w:t>
      </w:r>
    </w:p>
  </w:footnote>
  <w:footnote w:id="2">
    <w:p w14:paraId="22B58189" w14:textId="6C60ADB7" w:rsidR="00BC7126" w:rsidRPr="00DA57EB" w:rsidRDefault="00BC7126" w:rsidP="00BC7126">
      <w:pPr>
        <w:pStyle w:val="FootnoteText"/>
        <w:jc w:val="both"/>
        <w:rPr>
          <w:sz w:val="20"/>
        </w:rPr>
      </w:pPr>
      <w:r w:rsidRPr="00DA57EB">
        <w:rPr>
          <w:rStyle w:val="FootnoteReference"/>
          <w:sz w:val="20"/>
        </w:rPr>
        <w:footnoteRef/>
      </w:r>
      <w:r w:rsidRPr="00DA57EB">
        <w:rPr>
          <w:sz w:val="20"/>
        </w:rPr>
        <w:t xml:space="preserve"> As explained in Report No. 3, staff uses the phrase “deliberate ignorance” to describe the underlying problem and “willful blindness doctrine” to describe the judicially-developed solution applied by the courts.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EC0"/>
    <w:multiLevelType w:val="hybridMultilevel"/>
    <w:tmpl w:val="7D3284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A1715"/>
    <w:multiLevelType w:val="multilevel"/>
    <w:tmpl w:val="BB74CE10"/>
    <w:lvl w:ilvl="0">
      <w:start w:val="1"/>
      <w:numFmt w:val="lowerLetter"/>
      <w:suff w:val="space"/>
      <w:lvlText w:val="(%1)"/>
      <w:lvlJc w:val="left"/>
      <w:pPr>
        <w:ind w:left="1080" w:hanging="360"/>
      </w:pPr>
      <w:rPr>
        <w:rFonts w:hint="default"/>
      </w:rPr>
    </w:lvl>
    <w:lvl w:ilvl="1">
      <w:start w:val="1"/>
      <w:numFmt w:val="decimal"/>
      <w:suff w:val="space"/>
      <w:lvlText w:val="(%2)"/>
      <w:lvlJc w:val="left"/>
      <w:pPr>
        <w:ind w:left="1440" w:firstLine="0"/>
      </w:pPr>
      <w:rPr>
        <w:rFonts w:hint="default"/>
      </w:rPr>
    </w:lvl>
    <w:lvl w:ilvl="2">
      <w:start w:val="1"/>
      <w:numFmt w:val="lowerRoman"/>
      <w:suff w:val="space"/>
      <w:lvlText w:val="(%3)"/>
      <w:lvlJc w:val="left"/>
      <w:pPr>
        <w:ind w:left="2160" w:firstLine="0"/>
      </w:pPr>
      <w:rPr>
        <w:rFonts w:hint="default"/>
      </w:rPr>
    </w:lvl>
    <w:lvl w:ilvl="3">
      <w:start w:val="1"/>
      <w:numFmt w:val="upperLetter"/>
      <w:suff w:val="space"/>
      <w:lvlText w:val="(%4)"/>
      <w:lvlJc w:val="left"/>
      <w:pPr>
        <w:ind w:left="28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08E26B4"/>
    <w:multiLevelType w:val="hybridMultilevel"/>
    <w:tmpl w:val="0358BD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610629"/>
    <w:multiLevelType w:val="hybridMultilevel"/>
    <w:tmpl w:val="201064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D3F19"/>
    <w:multiLevelType w:val="hybridMultilevel"/>
    <w:tmpl w:val="4D32E604"/>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129664A2">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1737145"/>
    <w:multiLevelType w:val="hybridMultilevel"/>
    <w:tmpl w:val="65DC4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C858DA"/>
    <w:multiLevelType w:val="hybridMultilevel"/>
    <w:tmpl w:val="D7EAE6CC"/>
    <w:lvl w:ilvl="0" w:tplc="04090013">
      <w:start w:val="1"/>
      <w:numFmt w:val="upperRoman"/>
      <w:lvlText w:val="%1."/>
      <w:lvlJc w:val="right"/>
      <w:pPr>
        <w:ind w:left="720" w:hanging="360"/>
      </w:pPr>
    </w:lvl>
    <w:lvl w:ilvl="1" w:tplc="C99E3B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F572E9"/>
    <w:multiLevelType w:val="hybridMultilevel"/>
    <w:tmpl w:val="7E6EDBE0"/>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E741CD8"/>
    <w:multiLevelType w:val="hybridMultilevel"/>
    <w:tmpl w:val="A23686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A1BCE"/>
    <w:multiLevelType w:val="hybridMultilevel"/>
    <w:tmpl w:val="BDB4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3"/>
  </w:num>
  <w:num w:numId="5">
    <w:abstractNumId w:val="6"/>
  </w:num>
  <w:num w:numId="6">
    <w:abstractNumId w:val="4"/>
  </w:num>
  <w:num w:numId="7">
    <w:abstractNumId w:val="8"/>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E5"/>
    <w:rsid w:val="00012545"/>
    <w:rsid w:val="0001580F"/>
    <w:rsid w:val="000166BB"/>
    <w:rsid w:val="00057F0D"/>
    <w:rsid w:val="00066B6A"/>
    <w:rsid w:val="00073603"/>
    <w:rsid w:val="0008568A"/>
    <w:rsid w:val="00091874"/>
    <w:rsid w:val="00097FD5"/>
    <w:rsid w:val="000D4FDD"/>
    <w:rsid w:val="00104986"/>
    <w:rsid w:val="00127384"/>
    <w:rsid w:val="0015429F"/>
    <w:rsid w:val="001564DD"/>
    <w:rsid w:val="00165083"/>
    <w:rsid w:val="00167257"/>
    <w:rsid w:val="001726A4"/>
    <w:rsid w:val="00187C17"/>
    <w:rsid w:val="001973F0"/>
    <w:rsid w:val="001B51FD"/>
    <w:rsid w:val="001C735B"/>
    <w:rsid w:val="00217640"/>
    <w:rsid w:val="00244AF7"/>
    <w:rsid w:val="00246FCD"/>
    <w:rsid w:val="00250BD4"/>
    <w:rsid w:val="00296BC4"/>
    <w:rsid w:val="002D128F"/>
    <w:rsid w:val="002D793B"/>
    <w:rsid w:val="00301502"/>
    <w:rsid w:val="003117A6"/>
    <w:rsid w:val="00312C03"/>
    <w:rsid w:val="00331A13"/>
    <w:rsid w:val="0038130A"/>
    <w:rsid w:val="00382745"/>
    <w:rsid w:val="003A21B5"/>
    <w:rsid w:val="003C4E20"/>
    <w:rsid w:val="003D15EE"/>
    <w:rsid w:val="003D35F4"/>
    <w:rsid w:val="003F1AFE"/>
    <w:rsid w:val="00410E1A"/>
    <w:rsid w:val="0042257D"/>
    <w:rsid w:val="00443A6C"/>
    <w:rsid w:val="00447195"/>
    <w:rsid w:val="0049002B"/>
    <w:rsid w:val="00497D74"/>
    <w:rsid w:val="004A4536"/>
    <w:rsid w:val="004A5FDA"/>
    <w:rsid w:val="004B55EC"/>
    <w:rsid w:val="004B6B93"/>
    <w:rsid w:val="004B725A"/>
    <w:rsid w:val="004B72AF"/>
    <w:rsid w:val="004E0924"/>
    <w:rsid w:val="004F1CB2"/>
    <w:rsid w:val="00513134"/>
    <w:rsid w:val="00522F20"/>
    <w:rsid w:val="0053465F"/>
    <w:rsid w:val="005743D8"/>
    <w:rsid w:val="00585C17"/>
    <w:rsid w:val="005A0FBB"/>
    <w:rsid w:val="005D3BC8"/>
    <w:rsid w:val="00603C75"/>
    <w:rsid w:val="00622EDC"/>
    <w:rsid w:val="006677F5"/>
    <w:rsid w:val="006856E5"/>
    <w:rsid w:val="006A1FF4"/>
    <w:rsid w:val="006A3419"/>
    <w:rsid w:val="006B4258"/>
    <w:rsid w:val="006B4323"/>
    <w:rsid w:val="006B63BE"/>
    <w:rsid w:val="006D1F02"/>
    <w:rsid w:val="006E17A2"/>
    <w:rsid w:val="00712763"/>
    <w:rsid w:val="007143D1"/>
    <w:rsid w:val="00740662"/>
    <w:rsid w:val="0074666F"/>
    <w:rsid w:val="007B74F8"/>
    <w:rsid w:val="007E2886"/>
    <w:rsid w:val="00862B5A"/>
    <w:rsid w:val="008800D4"/>
    <w:rsid w:val="00881C35"/>
    <w:rsid w:val="00885FA2"/>
    <w:rsid w:val="008E5249"/>
    <w:rsid w:val="0090060A"/>
    <w:rsid w:val="00921E00"/>
    <w:rsid w:val="009223E7"/>
    <w:rsid w:val="0093531B"/>
    <w:rsid w:val="009518D4"/>
    <w:rsid w:val="00952B5C"/>
    <w:rsid w:val="0096027F"/>
    <w:rsid w:val="00977507"/>
    <w:rsid w:val="009A2E4D"/>
    <w:rsid w:val="009B259B"/>
    <w:rsid w:val="009B3251"/>
    <w:rsid w:val="009B44A2"/>
    <w:rsid w:val="009C2126"/>
    <w:rsid w:val="009D5430"/>
    <w:rsid w:val="009D5D82"/>
    <w:rsid w:val="009E0BCD"/>
    <w:rsid w:val="00A0797E"/>
    <w:rsid w:val="00A21502"/>
    <w:rsid w:val="00A43D37"/>
    <w:rsid w:val="00A44AEA"/>
    <w:rsid w:val="00A56242"/>
    <w:rsid w:val="00A5730E"/>
    <w:rsid w:val="00A662AF"/>
    <w:rsid w:val="00AB4AF7"/>
    <w:rsid w:val="00AB61C5"/>
    <w:rsid w:val="00AB7148"/>
    <w:rsid w:val="00AD6363"/>
    <w:rsid w:val="00AE4DFF"/>
    <w:rsid w:val="00B056DD"/>
    <w:rsid w:val="00B0692A"/>
    <w:rsid w:val="00B1778D"/>
    <w:rsid w:val="00B20353"/>
    <w:rsid w:val="00B22A00"/>
    <w:rsid w:val="00B34013"/>
    <w:rsid w:val="00B43C67"/>
    <w:rsid w:val="00B66528"/>
    <w:rsid w:val="00B74CEB"/>
    <w:rsid w:val="00B765A9"/>
    <w:rsid w:val="00B867F3"/>
    <w:rsid w:val="00B954C4"/>
    <w:rsid w:val="00B961A2"/>
    <w:rsid w:val="00BC7126"/>
    <w:rsid w:val="00BD1B7A"/>
    <w:rsid w:val="00BE600F"/>
    <w:rsid w:val="00BE7738"/>
    <w:rsid w:val="00BF4B5C"/>
    <w:rsid w:val="00BF599F"/>
    <w:rsid w:val="00C05266"/>
    <w:rsid w:val="00C13AA9"/>
    <w:rsid w:val="00C34421"/>
    <w:rsid w:val="00C416C1"/>
    <w:rsid w:val="00C50CDA"/>
    <w:rsid w:val="00C7247F"/>
    <w:rsid w:val="00C92849"/>
    <w:rsid w:val="00CA6406"/>
    <w:rsid w:val="00CA6C27"/>
    <w:rsid w:val="00CD14E7"/>
    <w:rsid w:val="00CE0E28"/>
    <w:rsid w:val="00CF4CAB"/>
    <w:rsid w:val="00D0409A"/>
    <w:rsid w:val="00D25377"/>
    <w:rsid w:val="00D44A4F"/>
    <w:rsid w:val="00D543A4"/>
    <w:rsid w:val="00D62FEF"/>
    <w:rsid w:val="00D676C2"/>
    <w:rsid w:val="00D81CC8"/>
    <w:rsid w:val="00DA57EB"/>
    <w:rsid w:val="00DC45CF"/>
    <w:rsid w:val="00DC5303"/>
    <w:rsid w:val="00DD01D7"/>
    <w:rsid w:val="00DF05D7"/>
    <w:rsid w:val="00DF5A4A"/>
    <w:rsid w:val="00E14D33"/>
    <w:rsid w:val="00E4108A"/>
    <w:rsid w:val="00E60F2C"/>
    <w:rsid w:val="00E61750"/>
    <w:rsid w:val="00EA01DC"/>
    <w:rsid w:val="00EC4D62"/>
    <w:rsid w:val="00ED2F47"/>
    <w:rsid w:val="00EF0AD6"/>
    <w:rsid w:val="00F034EA"/>
    <w:rsid w:val="00F10A45"/>
    <w:rsid w:val="00F17119"/>
    <w:rsid w:val="00F463FB"/>
    <w:rsid w:val="00F5531A"/>
    <w:rsid w:val="00F75CC9"/>
    <w:rsid w:val="00F77FBF"/>
    <w:rsid w:val="00F90D2B"/>
    <w:rsid w:val="00FA59AB"/>
    <w:rsid w:val="00FB44F6"/>
    <w:rsid w:val="00FB5CA3"/>
    <w:rsid w:val="00FC039C"/>
    <w:rsid w:val="00FC1BB8"/>
    <w:rsid w:val="00FC2FBD"/>
    <w:rsid w:val="00FC63F1"/>
    <w:rsid w:val="00FD225A"/>
    <w:rsid w:val="00FD7774"/>
    <w:rsid w:val="00FF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F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5CC9"/>
    <w:pPr>
      <w:spacing w:after="0"/>
    </w:pPr>
    <w:rPr>
      <w:rFonts w:ascii="Times New Roman" w:eastAsia="Times New Roman" w:hAnsi="Times New Roman" w:cs="Times New Roman"/>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CC9"/>
    <w:rPr>
      <w:color w:val="0000FF" w:themeColor="hyperlink"/>
      <w:u w:val="single"/>
    </w:rPr>
  </w:style>
  <w:style w:type="paragraph" w:styleId="ListParagraph">
    <w:name w:val="List Paragraph"/>
    <w:basedOn w:val="Normal"/>
    <w:uiPriority w:val="34"/>
    <w:qFormat/>
    <w:rsid w:val="00522F20"/>
    <w:pPr>
      <w:ind w:left="720"/>
      <w:contextualSpacing/>
    </w:pPr>
  </w:style>
  <w:style w:type="paragraph" w:styleId="Header">
    <w:name w:val="header"/>
    <w:basedOn w:val="Normal"/>
    <w:link w:val="HeaderChar"/>
    <w:uiPriority w:val="99"/>
    <w:unhideWhenUsed/>
    <w:rsid w:val="006A1FF4"/>
    <w:pPr>
      <w:tabs>
        <w:tab w:val="center" w:pos="4680"/>
        <w:tab w:val="right" w:pos="9360"/>
      </w:tabs>
      <w:spacing w:line="240" w:lineRule="auto"/>
    </w:pPr>
  </w:style>
  <w:style w:type="character" w:customStyle="1" w:styleId="HeaderChar">
    <w:name w:val="Header Char"/>
    <w:basedOn w:val="DefaultParagraphFont"/>
    <w:link w:val="Header"/>
    <w:uiPriority w:val="99"/>
    <w:rsid w:val="006A1FF4"/>
    <w:rPr>
      <w:rFonts w:ascii="Times New Roman" w:eastAsia="Times New Roman" w:hAnsi="Times New Roman" w:cs="Times New Roman"/>
      <w:color w:val="212121"/>
      <w:sz w:val="24"/>
      <w:szCs w:val="24"/>
    </w:rPr>
  </w:style>
  <w:style w:type="paragraph" w:styleId="Footer">
    <w:name w:val="footer"/>
    <w:basedOn w:val="Normal"/>
    <w:link w:val="FooterChar"/>
    <w:uiPriority w:val="99"/>
    <w:unhideWhenUsed/>
    <w:rsid w:val="006A1FF4"/>
    <w:pPr>
      <w:tabs>
        <w:tab w:val="center" w:pos="4680"/>
        <w:tab w:val="right" w:pos="9360"/>
      </w:tabs>
      <w:spacing w:line="240" w:lineRule="auto"/>
    </w:pPr>
  </w:style>
  <w:style w:type="character" w:customStyle="1" w:styleId="FooterChar">
    <w:name w:val="Footer Char"/>
    <w:basedOn w:val="DefaultParagraphFont"/>
    <w:link w:val="Footer"/>
    <w:uiPriority w:val="99"/>
    <w:rsid w:val="006A1FF4"/>
    <w:rPr>
      <w:rFonts w:ascii="Times New Roman" w:eastAsia="Times New Roman" w:hAnsi="Times New Roman" w:cs="Times New Roman"/>
      <w:color w:val="212121"/>
      <w:sz w:val="24"/>
      <w:szCs w:val="24"/>
    </w:rPr>
  </w:style>
  <w:style w:type="paragraph" w:styleId="BalloonText">
    <w:name w:val="Balloon Text"/>
    <w:basedOn w:val="Normal"/>
    <w:link w:val="BalloonTextChar"/>
    <w:uiPriority w:val="99"/>
    <w:semiHidden/>
    <w:unhideWhenUsed/>
    <w:rsid w:val="009D5D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D82"/>
    <w:rPr>
      <w:rFonts w:ascii="Lucida Grande" w:eastAsia="Times New Roman" w:hAnsi="Lucida Grande" w:cs="Lucida Grande"/>
      <w:color w:val="212121"/>
      <w:sz w:val="18"/>
      <w:szCs w:val="18"/>
    </w:rPr>
  </w:style>
  <w:style w:type="character" w:styleId="CommentReference">
    <w:name w:val="annotation reference"/>
    <w:basedOn w:val="DefaultParagraphFont"/>
    <w:uiPriority w:val="99"/>
    <w:semiHidden/>
    <w:unhideWhenUsed/>
    <w:rsid w:val="00410E1A"/>
    <w:rPr>
      <w:sz w:val="16"/>
      <w:szCs w:val="16"/>
    </w:rPr>
  </w:style>
  <w:style w:type="paragraph" w:styleId="CommentText">
    <w:name w:val="annotation text"/>
    <w:basedOn w:val="Normal"/>
    <w:link w:val="CommentTextChar"/>
    <w:uiPriority w:val="99"/>
    <w:semiHidden/>
    <w:unhideWhenUsed/>
    <w:rsid w:val="00410E1A"/>
    <w:pPr>
      <w:spacing w:line="240" w:lineRule="auto"/>
    </w:pPr>
    <w:rPr>
      <w:sz w:val="20"/>
      <w:szCs w:val="20"/>
    </w:rPr>
  </w:style>
  <w:style w:type="character" w:customStyle="1" w:styleId="CommentTextChar">
    <w:name w:val="Comment Text Char"/>
    <w:basedOn w:val="DefaultParagraphFont"/>
    <w:link w:val="CommentText"/>
    <w:uiPriority w:val="99"/>
    <w:semiHidden/>
    <w:rsid w:val="00410E1A"/>
    <w:rPr>
      <w:rFonts w:ascii="Times New Roman" w:eastAsia="Times New Roman" w:hAnsi="Times New Roman" w:cs="Times New Roman"/>
      <w:color w:val="212121"/>
      <w:sz w:val="20"/>
      <w:szCs w:val="20"/>
    </w:rPr>
  </w:style>
  <w:style w:type="paragraph" w:styleId="CommentSubject">
    <w:name w:val="annotation subject"/>
    <w:basedOn w:val="CommentText"/>
    <w:next w:val="CommentText"/>
    <w:link w:val="CommentSubjectChar"/>
    <w:uiPriority w:val="99"/>
    <w:semiHidden/>
    <w:unhideWhenUsed/>
    <w:rsid w:val="00410E1A"/>
    <w:rPr>
      <w:b/>
      <w:bCs/>
    </w:rPr>
  </w:style>
  <w:style w:type="character" w:customStyle="1" w:styleId="CommentSubjectChar">
    <w:name w:val="Comment Subject Char"/>
    <w:basedOn w:val="CommentTextChar"/>
    <w:link w:val="CommentSubject"/>
    <w:uiPriority w:val="99"/>
    <w:semiHidden/>
    <w:rsid w:val="00410E1A"/>
    <w:rPr>
      <w:rFonts w:ascii="Times New Roman" w:eastAsia="Times New Roman" w:hAnsi="Times New Roman" w:cs="Times New Roman"/>
      <w:b/>
      <w:bCs/>
      <w:color w:val="212121"/>
      <w:sz w:val="20"/>
      <w:szCs w:val="20"/>
    </w:rPr>
  </w:style>
  <w:style w:type="paragraph" w:styleId="FootnoteText">
    <w:name w:val="footnote text"/>
    <w:basedOn w:val="Normal"/>
    <w:link w:val="FootnoteTextChar"/>
    <w:uiPriority w:val="99"/>
    <w:unhideWhenUsed/>
    <w:rsid w:val="00BC7126"/>
    <w:pPr>
      <w:spacing w:line="240" w:lineRule="auto"/>
    </w:pPr>
  </w:style>
  <w:style w:type="character" w:customStyle="1" w:styleId="FootnoteTextChar">
    <w:name w:val="Footnote Text Char"/>
    <w:basedOn w:val="DefaultParagraphFont"/>
    <w:link w:val="FootnoteText"/>
    <w:uiPriority w:val="99"/>
    <w:rsid w:val="00BC7126"/>
    <w:rPr>
      <w:rFonts w:ascii="Times New Roman" w:eastAsia="Times New Roman" w:hAnsi="Times New Roman" w:cs="Times New Roman"/>
      <w:color w:val="212121"/>
      <w:sz w:val="24"/>
      <w:szCs w:val="24"/>
    </w:rPr>
  </w:style>
  <w:style w:type="character" w:styleId="FootnoteReference">
    <w:name w:val="footnote reference"/>
    <w:basedOn w:val="DefaultParagraphFont"/>
    <w:uiPriority w:val="99"/>
    <w:unhideWhenUsed/>
    <w:rsid w:val="00BC71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5CC9"/>
    <w:pPr>
      <w:spacing w:after="0"/>
    </w:pPr>
    <w:rPr>
      <w:rFonts w:ascii="Times New Roman" w:eastAsia="Times New Roman" w:hAnsi="Times New Roman" w:cs="Times New Roman"/>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CC9"/>
    <w:rPr>
      <w:color w:val="0000FF" w:themeColor="hyperlink"/>
      <w:u w:val="single"/>
    </w:rPr>
  </w:style>
  <w:style w:type="paragraph" w:styleId="ListParagraph">
    <w:name w:val="List Paragraph"/>
    <w:basedOn w:val="Normal"/>
    <w:uiPriority w:val="34"/>
    <w:qFormat/>
    <w:rsid w:val="00522F20"/>
    <w:pPr>
      <w:ind w:left="720"/>
      <w:contextualSpacing/>
    </w:pPr>
  </w:style>
  <w:style w:type="paragraph" w:styleId="Header">
    <w:name w:val="header"/>
    <w:basedOn w:val="Normal"/>
    <w:link w:val="HeaderChar"/>
    <w:uiPriority w:val="99"/>
    <w:unhideWhenUsed/>
    <w:rsid w:val="006A1FF4"/>
    <w:pPr>
      <w:tabs>
        <w:tab w:val="center" w:pos="4680"/>
        <w:tab w:val="right" w:pos="9360"/>
      </w:tabs>
      <w:spacing w:line="240" w:lineRule="auto"/>
    </w:pPr>
  </w:style>
  <w:style w:type="character" w:customStyle="1" w:styleId="HeaderChar">
    <w:name w:val="Header Char"/>
    <w:basedOn w:val="DefaultParagraphFont"/>
    <w:link w:val="Header"/>
    <w:uiPriority w:val="99"/>
    <w:rsid w:val="006A1FF4"/>
    <w:rPr>
      <w:rFonts w:ascii="Times New Roman" w:eastAsia="Times New Roman" w:hAnsi="Times New Roman" w:cs="Times New Roman"/>
      <w:color w:val="212121"/>
      <w:sz w:val="24"/>
      <w:szCs w:val="24"/>
    </w:rPr>
  </w:style>
  <w:style w:type="paragraph" w:styleId="Footer">
    <w:name w:val="footer"/>
    <w:basedOn w:val="Normal"/>
    <w:link w:val="FooterChar"/>
    <w:uiPriority w:val="99"/>
    <w:unhideWhenUsed/>
    <w:rsid w:val="006A1FF4"/>
    <w:pPr>
      <w:tabs>
        <w:tab w:val="center" w:pos="4680"/>
        <w:tab w:val="right" w:pos="9360"/>
      </w:tabs>
      <w:spacing w:line="240" w:lineRule="auto"/>
    </w:pPr>
  </w:style>
  <w:style w:type="character" w:customStyle="1" w:styleId="FooterChar">
    <w:name w:val="Footer Char"/>
    <w:basedOn w:val="DefaultParagraphFont"/>
    <w:link w:val="Footer"/>
    <w:uiPriority w:val="99"/>
    <w:rsid w:val="006A1FF4"/>
    <w:rPr>
      <w:rFonts w:ascii="Times New Roman" w:eastAsia="Times New Roman" w:hAnsi="Times New Roman" w:cs="Times New Roman"/>
      <w:color w:val="212121"/>
      <w:sz w:val="24"/>
      <w:szCs w:val="24"/>
    </w:rPr>
  </w:style>
  <w:style w:type="paragraph" w:styleId="BalloonText">
    <w:name w:val="Balloon Text"/>
    <w:basedOn w:val="Normal"/>
    <w:link w:val="BalloonTextChar"/>
    <w:uiPriority w:val="99"/>
    <w:semiHidden/>
    <w:unhideWhenUsed/>
    <w:rsid w:val="009D5D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D82"/>
    <w:rPr>
      <w:rFonts w:ascii="Lucida Grande" w:eastAsia="Times New Roman" w:hAnsi="Lucida Grande" w:cs="Lucida Grande"/>
      <w:color w:val="212121"/>
      <w:sz w:val="18"/>
      <w:szCs w:val="18"/>
    </w:rPr>
  </w:style>
  <w:style w:type="character" w:styleId="CommentReference">
    <w:name w:val="annotation reference"/>
    <w:basedOn w:val="DefaultParagraphFont"/>
    <w:uiPriority w:val="99"/>
    <w:semiHidden/>
    <w:unhideWhenUsed/>
    <w:rsid w:val="00410E1A"/>
    <w:rPr>
      <w:sz w:val="16"/>
      <w:szCs w:val="16"/>
    </w:rPr>
  </w:style>
  <w:style w:type="paragraph" w:styleId="CommentText">
    <w:name w:val="annotation text"/>
    <w:basedOn w:val="Normal"/>
    <w:link w:val="CommentTextChar"/>
    <w:uiPriority w:val="99"/>
    <w:semiHidden/>
    <w:unhideWhenUsed/>
    <w:rsid w:val="00410E1A"/>
    <w:pPr>
      <w:spacing w:line="240" w:lineRule="auto"/>
    </w:pPr>
    <w:rPr>
      <w:sz w:val="20"/>
      <w:szCs w:val="20"/>
    </w:rPr>
  </w:style>
  <w:style w:type="character" w:customStyle="1" w:styleId="CommentTextChar">
    <w:name w:val="Comment Text Char"/>
    <w:basedOn w:val="DefaultParagraphFont"/>
    <w:link w:val="CommentText"/>
    <w:uiPriority w:val="99"/>
    <w:semiHidden/>
    <w:rsid w:val="00410E1A"/>
    <w:rPr>
      <w:rFonts w:ascii="Times New Roman" w:eastAsia="Times New Roman" w:hAnsi="Times New Roman" w:cs="Times New Roman"/>
      <w:color w:val="212121"/>
      <w:sz w:val="20"/>
      <w:szCs w:val="20"/>
    </w:rPr>
  </w:style>
  <w:style w:type="paragraph" w:styleId="CommentSubject">
    <w:name w:val="annotation subject"/>
    <w:basedOn w:val="CommentText"/>
    <w:next w:val="CommentText"/>
    <w:link w:val="CommentSubjectChar"/>
    <w:uiPriority w:val="99"/>
    <w:semiHidden/>
    <w:unhideWhenUsed/>
    <w:rsid w:val="00410E1A"/>
    <w:rPr>
      <w:b/>
      <w:bCs/>
    </w:rPr>
  </w:style>
  <w:style w:type="character" w:customStyle="1" w:styleId="CommentSubjectChar">
    <w:name w:val="Comment Subject Char"/>
    <w:basedOn w:val="CommentTextChar"/>
    <w:link w:val="CommentSubject"/>
    <w:uiPriority w:val="99"/>
    <w:semiHidden/>
    <w:rsid w:val="00410E1A"/>
    <w:rPr>
      <w:rFonts w:ascii="Times New Roman" w:eastAsia="Times New Roman" w:hAnsi="Times New Roman" w:cs="Times New Roman"/>
      <w:b/>
      <w:bCs/>
      <w:color w:val="212121"/>
      <w:sz w:val="20"/>
      <w:szCs w:val="20"/>
    </w:rPr>
  </w:style>
  <w:style w:type="paragraph" w:styleId="FootnoteText">
    <w:name w:val="footnote text"/>
    <w:basedOn w:val="Normal"/>
    <w:link w:val="FootnoteTextChar"/>
    <w:uiPriority w:val="99"/>
    <w:unhideWhenUsed/>
    <w:rsid w:val="00BC7126"/>
    <w:pPr>
      <w:spacing w:line="240" w:lineRule="auto"/>
    </w:pPr>
  </w:style>
  <w:style w:type="character" w:customStyle="1" w:styleId="FootnoteTextChar">
    <w:name w:val="Footnote Text Char"/>
    <w:basedOn w:val="DefaultParagraphFont"/>
    <w:link w:val="FootnoteText"/>
    <w:uiPriority w:val="99"/>
    <w:rsid w:val="00BC7126"/>
    <w:rPr>
      <w:rFonts w:ascii="Times New Roman" w:eastAsia="Times New Roman" w:hAnsi="Times New Roman" w:cs="Times New Roman"/>
      <w:color w:val="212121"/>
      <w:sz w:val="24"/>
      <w:szCs w:val="24"/>
    </w:rPr>
  </w:style>
  <w:style w:type="character" w:styleId="FootnoteReference">
    <w:name w:val="footnote reference"/>
    <w:basedOn w:val="DefaultParagraphFont"/>
    <w:uiPriority w:val="99"/>
    <w:unhideWhenUsed/>
    <w:rsid w:val="00BC7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3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ichard.schmechel@dc.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8B2C-BC14-4306-A569-7A83A98C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cp:revision>
  <dcterms:created xsi:type="dcterms:W3CDTF">2017-04-10T16:05:00Z</dcterms:created>
  <dcterms:modified xsi:type="dcterms:W3CDTF">2017-04-10T16:05:00Z</dcterms:modified>
</cp:coreProperties>
</file>