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F5B5F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>hursday, May 16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6F5B5F">
        <w:rPr>
          <w:rFonts w:ascii="Arial" w:hAnsi="Arial" w:cs="Arial"/>
        </w:rPr>
        <w:t>April 9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6F5B5F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 on Status of </w:t>
      </w:r>
      <w:r w:rsidR="004F4B38">
        <w:rPr>
          <w:rFonts w:ascii="Arial" w:hAnsi="Arial" w:cs="Arial"/>
          <w:b/>
        </w:rPr>
        <w:t>Second Notice of Proposed Rulemaking</w:t>
      </w:r>
      <w:r w:rsidR="00D76C2B">
        <w:rPr>
          <w:rFonts w:ascii="Arial" w:hAnsi="Arial" w:cs="Arial"/>
          <w:b/>
        </w:rPr>
        <w:t xml:space="preserve"> (2017 DC Construction Codes)</w:t>
      </w:r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6F5B5F">
        <w:rPr>
          <w:rFonts w:ascii="Arial" w:hAnsi="Arial" w:cs="Arial"/>
        </w:rPr>
        <w:t>June 20</w:t>
      </w:r>
      <w:bookmarkStart w:id="0" w:name="_GoBack"/>
      <w:bookmarkEnd w:id="0"/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6F5B5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E182-9D7F-4186-B4A2-4BC946A8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2019-05-13T14:30:00Z</dcterms:created>
  <dcterms:modified xsi:type="dcterms:W3CDTF">2019-05-13T14:31:00Z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