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4BE8E" w14:textId="77777777" w:rsidR="00990F73" w:rsidRDefault="00990F73" w:rsidP="00990F73">
      <w:pPr>
        <w:shd w:val="clear" w:color="auto" w:fill="FFFFFF"/>
      </w:pPr>
      <w:bookmarkStart w:id="0" w:name="_Hlk119573173"/>
      <w:r>
        <w:t xml:space="preserve">Agenda: </w:t>
      </w:r>
    </w:p>
    <w:p w14:paraId="758F40D3" w14:textId="77777777" w:rsidR="00990F73" w:rsidRDefault="00990F73" w:rsidP="00990F73">
      <w:pPr>
        <w:shd w:val="clear" w:color="auto" w:fill="FFFFFF"/>
      </w:pPr>
      <w:r>
        <w:t>Administrative</w:t>
      </w:r>
    </w:p>
    <w:p w14:paraId="13B6C695" w14:textId="77777777" w:rsidR="00990F73" w:rsidRDefault="00990F73" w:rsidP="00990F73">
      <w:pPr>
        <w:pStyle w:val="ListParagraph"/>
        <w:numPr>
          <w:ilvl w:val="0"/>
          <w:numId w:val="1"/>
        </w:num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Casey planning to reintroduce ECC-En-4-1-23 building electrification proposal on February 16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for reconsideration by CCCB. </w:t>
      </w:r>
    </w:p>
    <w:p w14:paraId="65ECF334" w14:textId="77777777" w:rsidR="00990F73" w:rsidRDefault="00990F73" w:rsidP="00990F73">
      <w:pPr>
        <w:pStyle w:val="ListParagraph"/>
        <w:numPr>
          <w:ilvl w:val="0"/>
          <w:numId w:val="1"/>
        </w:num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Will also vote on updated Water Heating and EV infrastructure proposals on Feb 16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call.  Did not need to introduce ahead of time, as were previously introduced.</w:t>
      </w:r>
    </w:p>
    <w:p w14:paraId="4E3B111E" w14:textId="77777777" w:rsidR="00990F73" w:rsidRDefault="00990F73" w:rsidP="00990F73">
      <w:pPr>
        <w:pStyle w:val="ListParagraph"/>
        <w:numPr>
          <w:ilvl w:val="0"/>
          <w:numId w:val="1"/>
        </w:num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Mechanical TAG still has yet to review ECC-En-6-2-23 DOAS that was approved by TAG but referred to Mechanical.</w:t>
      </w:r>
    </w:p>
    <w:p w14:paraId="4B0C9612" w14:textId="77777777" w:rsidR="00990F73" w:rsidRDefault="00990F73" w:rsidP="00990F73">
      <w:pPr>
        <w:pStyle w:val="ListParagraph"/>
        <w:numPr>
          <w:ilvl w:val="0"/>
          <w:numId w:val="1"/>
        </w:num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Amendment proposal status at CCCB:</w:t>
      </w:r>
    </w:p>
    <w:p w14:paraId="3CE61924" w14:textId="77777777" w:rsidR="00990F73" w:rsidRDefault="00990F73" w:rsidP="00990F73">
      <w:pPr>
        <w:pStyle w:val="ListParagraph"/>
        <w:numPr>
          <w:ilvl w:val="1"/>
          <w:numId w:val="1"/>
        </w:num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ECC-En-1-1-23 – approved 9/15</w:t>
      </w:r>
    </w:p>
    <w:p w14:paraId="625F436E" w14:textId="77777777" w:rsidR="00990F73" w:rsidRDefault="00990F73" w:rsidP="00990F73">
      <w:pPr>
        <w:pStyle w:val="ListParagraph"/>
        <w:numPr>
          <w:ilvl w:val="1"/>
          <w:numId w:val="1"/>
        </w:num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ECC-En-2-1-23 – approved 9/15</w:t>
      </w:r>
    </w:p>
    <w:p w14:paraId="7BAACC7E" w14:textId="77777777" w:rsidR="00990F73" w:rsidRDefault="00990F73" w:rsidP="00990F73">
      <w:pPr>
        <w:pStyle w:val="ListParagraph"/>
        <w:numPr>
          <w:ilvl w:val="1"/>
          <w:numId w:val="1"/>
        </w:num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ECC-En-4-1-23 Decarb – failed 10/20</w:t>
      </w:r>
    </w:p>
    <w:p w14:paraId="6273EF70" w14:textId="77777777" w:rsidR="00990F73" w:rsidRDefault="00990F73" w:rsidP="00990F73">
      <w:pPr>
        <w:pStyle w:val="ListParagraph"/>
        <w:numPr>
          <w:ilvl w:val="1"/>
          <w:numId w:val="1"/>
        </w:num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ECC-En-6-3-23 Decarb – approved 10/20</w:t>
      </w:r>
    </w:p>
    <w:p w14:paraId="14B58AA9" w14:textId="77777777" w:rsidR="00990F73" w:rsidRDefault="00990F73" w:rsidP="00990F73">
      <w:pPr>
        <w:pStyle w:val="ListParagraph"/>
        <w:numPr>
          <w:ilvl w:val="1"/>
          <w:numId w:val="1"/>
        </w:num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ECC-En-3-2-23 Decarb – approved 10/20</w:t>
      </w:r>
    </w:p>
    <w:p w14:paraId="1395293F" w14:textId="77777777" w:rsidR="00990F73" w:rsidRDefault="00990F73" w:rsidP="00990F73">
      <w:pPr>
        <w:pStyle w:val="ListParagraph"/>
        <w:numPr>
          <w:ilvl w:val="1"/>
          <w:numId w:val="1"/>
        </w:num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ECC-En-8-2-23 Decarb – inconclusive vote on 10/20, did not get majority support</w:t>
      </w:r>
    </w:p>
    <w:p w14:paraId="5C5C2409" w14:textId="77777777" w:rsidR="00990F73" w:rsidRDefault="00990F73" w:rsidP="00990F73">
      <w:pPr>
        <w:pStyle w:val="ListParagraph"/>
        <w:numPr>
          <w:ilvl w:val="1"/>
          <w:numId w:val="1"/>
        </w:num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ECC-En-5-1-23 Air Tightness – approved 8/18</w:t>
      </w:r>
    </w:p>
    <w:p w14:paraId="55DF586A" w14:textId="77777777" w:rsidR="00990F73" w:rsidRDefault="00990F73" w:rsidP="00990F73">
      <w:pPr>
        <w:pStyle w:val="ListParagraph"/>
        <w:numPr>
          <w:ilvl w:val="1"/>
          <w:numId w:val="1"/>
        </w:num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ECC-En-6-1-23 Fan Efficacy – approved 7/21</w:t>
      </w:r>
    </w:p>
    <w:p w14:paraId="744FD0F7" w14:textId="77777777" w:rsidR="00990F73" w:rsidRDefault="00990F73" w:rsidP="00990F73">
      <w:pPr>
        <w:pStyle w:val="ListParagraph"/>
        <w:numPr>
          <w:ilvl w:val="1"/>
          <w:numId w:val="1"/>
        </w:num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ECC-En-6-2-23 DOAS – deferred and referred to Mechanical TAG for their consideration</w:t>
      </w:r>
    </w:p>
    <w:p w14:paraId="35109A9A" w14:textId="77777777" w:rsidR="00990F73" w:rsidRDefault="00990F73" w:rsidP="00990F73">
      <w:pPr>
        <w:pStyle w:val="ListParagraph"/>
        <w:numPr>
          <w:ilvl w:val="1"/>
          <w:numId w:val="1"/>
        </w:num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ECC-En-G-1-23 Glazing tradeoff – approved 8/18</w:t>
      </w:r>
    </w:p>
    <w:p w14:paraId="5907DDFC" w14:textId="77777777" w:rsidR="00990F73" w:rsidRDefault="00990F73" w:rsidP="00990F73">
      <w:pPr>
        <w:pStyle w:val="ListParagraph"/>
        <w:numPr>
          <w:ilvl w:val="1"/>
          <w:numId w:val="1"/>
        </w:num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ECC-En-3-1-23, ECC-En-8-1-23, ECC-En-9-1-23 and ECC-En-12-1-23 Horticultural lighting – all 4 approved 11/17</w:t>
      </w:r>
    </w:p>
    <w:p w14:paraId="1DDBF6CC" w14:textId="77777777" w:rsidR="00990F73" w:rsidRDefault="00990F73" w:rsidP="00990F73">
      <w:pPr>
        <w:pStyle w:val="ListParagraph"/>
        <w:numPr>
          <w:ilvl w:val="0"/>
          <w:numId w:val="1"/>
        </w:num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Amendments approved by TAG but not yet introduced to CCCB</w:t>
      </w:r>
    </w:p>
    <w:p w14:paraId="1A97B951" w14:textId="77777777" w:rsidR="00990F73" w:rsidRDefault="00990F73" w:rsidP="00990F73">
      <w:pPr>
        <w:pStyle w:val="ListParagraph"/>
        <w:numPr>
          <w:ilvl w:val="1"/>
          <w:numId w:val="1"/>
        </w:num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Thermal bridging package</w:t>
      </w:r>
    </w:p>
    <w:p w14:paraId="49AD1DA9" w14:textId="77777777" w:rsidR="00990F73" w:rsidRDefault="00990F73" w:rsidP="00990F73">
      <w:pPr>
        <w:pStyle w:val="ListParagraph"/>
        <w:numPr>
          <w:ilvl w:val="1"/>
          <w:numId w:val="1"/>
        </w:num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Building Code, Chapter 1 – Building Code alignment</w:t>
      </w:r>
    </w:p>
    <w:p w14:paraId="1157AFF1" w14:textId="77777777" w:rsidR="00990F73" w:rsidRDefault="00990F73" w:rsidP="00990F73">
      <w:pPr>
        <w:pStyle w:val="ListParagraph"/>
        <w:numPr>
          <w:ilvl w:val="1"/>
          <w:numId w:val="1"/>
        </w:num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Energy Code, Chapter 1 – Building Code alignment</w:t>
      </w:r>
    </w:p>
    <w:p w14:paraId="6C057854" w14:textId="77777777" w:rsidR="00990F73" w:rsidRDefault="00990F73" w:rsidP="00990F73">
      <w:pPr>
        <w:pStyle w:val="ListParagraph"/>
        <w:numPr>
          <w:ilvl w:val="1"/>
          <w:numId w:val="1"/>
        </w:num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Energy Code, Chapter 2 – Building Code alignment</w:t>
      </w:r>
    </w:p>
    <w:p w14:paraId="28E62F2B" w14:textId="77777777" w:rsidR="00990F73" w:rsidRDefault="00990F73" w:rsidP="00990F73">
      <w:pPr>
        <w:shd w:val="clear" w:color="auto" w:fill="FFFFFF"/>
        <w:rPr>
          <w:rFonts w:ascii="Helvetica Neue" w:hAnsi="Helvetica Neue"/>
          <w:color w:val="666666"/>
          <w:sz w:val="21"/>
          <w:szCs w:val="21"/>
        </w:rPr>
      </w:pPr>
    </w:p>
    <w:p w14:paraId="21AC59D1" w14:textId="77777777" w:rsidR="00990F73" w:rsidRDefault="00990F73" w:rsidP="00990F73">
      <w:pPr>
        <w:rPr>
          <w:rFonts w:ascii="Times New Roman" w:hAnsi="Times New Roman"/>
        </w:rPr>
      </w:pPr>
      <w:bookmarkStart w:id="1" w:name="_Hlk116485597"/>
    </w:p>
    <w:bookmarkEnd w:id="1"/>
    <w:p w14:paraId="6BFE6E8E" w14:textId="77777777" w:rsidR="00990F73" w:rsidRDefault="00990F73" w:rsidP="00990F73">
      <w:pPr>
        <w:rPr>
          <w:b/>
          <w:bCs/>
        </w:rPr>
      </w:pPr>
      <w:r>
        <w:rPr>
          <w:b/>
          <w:bCs/>
        </w:rPr>
        <w:t>Building Code, Chapter 1 alignment (3 separate proposals)</w:t>
      </w:r>
    </w:p>
    <w:p w14:paraId="1AE4304E" w14:textId="77777777" w:rsidR="00990F73" w:rsidRDefault="00990F73" w:rsidP="00990F7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DC Building Code, Chapter 1 draft - notes</w:t>
      </w:r>
    </w:p>
    <w:p w14:paraId="3F1DD769" w14:textId="77777777" w:rsidR="00990F73" w:rsidRDefault="00990F73" w:rsidP="00990F73">
      <w:pPr>
        <w:pStyle w:val="ListParagraph"/>
        <w:numPr>
          <w:ilvl w:val="1"/>
          <w:numId w:val="1"/>
        </w:numPr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Defined terms, which are italicized, need to align</w:t>
      </w:r>
    </w:p>
    <w:p w14:paraId="76DD9E06" w14:textId="77777777" w:rsidR="00990F73" w:rsidRDefault="00990F73" w:rsidP="00990F73">
      <w:pPr>
        <w:pStyle w:val="ListParagraph"/>
        <w:numPr>
          <w:ilvl w:val="1"/>
          <w:numId w:val="1"/>
        </w:numPr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 xml:space="preserve">Should we consider aligning scope of Residential energy code with IBC definition.  </w:t>
      </w:r>
    </w:p>
    <w:p w14:paraId="2F0445F1" w14:textId="77777777" w:rsidR="00990F73" w:rsidRDefault="00990F73" w:rsidP="00990F7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DC ECC, Section 1 proposal to strike and relocate to Building Code, Chapter 1</w:t>
      </w:r>
    </w:p>
    <w:p w14:paraId="51FBE878" w14:textId="77777777" w:rsidR="00990F73" w:rsidRDefault="00990F73" w:rsidP="00990F7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DC ECC, Section 2 proposal to strike and relocate to Building Code, Chapter 1</w:t>
      </w:r>
    </w:p>
    <w:p w14:paraId="48122D18" w14:textId="77777777" w:rsidR="00990F73" w:rsidRDefault="00990F73" w:rsidP="00990F73">
      <w:pPr>
        <w:pStyle w:val="ListParagraph"/>
        <w:numPr>
          <w:ilvl w:val="1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All three unanimously approved on 2023-01-12 call</w:t>
      </w:r>
    </w:p>
    <w:p w14:paraId="7C58C1F7" w14:textId="77777777" w:rsidR="00990F73" w:rsidRDefault="00990F73" w:rsidP="00990F73"/>
    <w:p w14:paraId="74160F2C" w14:textId="77777777" w:rsidR="00990F73" w:rsidRDefault="00990F73" w:rsidP="00990F73">
      <w:pPr>
        <w:rPr>
          <w:b/>
          <w:bCs/>
        </w:rPr>
      </w:pPr>
      <w:r>
        <w:rPr>
          <w:b/>
          <w:bCs/>
        </w:rPr>
        <w:t>Chapter 11 – Energy Cost Budget Method</w:t>
      </w:r>
    </w:p>
    <w:p w14:paraId="0D51014D" w14:textId="77777777" w:rsidR="00990F73" w:rsidRDefault="00990F73" w:rsidP="00990F7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We have stricken it from the compliance pathways listed in Chapter 4</w:t>
      </w:r>
    </w:p>
    <w:p w14:paraId="77AB9341" w14:textId="77777777" w:rsidR="00990F73" w:rsidRDefault="00990F73" w:rsidP="00990F7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Should we strike the entire section?</w:t>
      </w:r>
    </w:p>
    <w:p w14:paraId="0C3D0BDE" w14:textId="77777777" w:rsidR="00990F73" w:rsidRDefault="00990F73" w:rsidP="00990F7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2017 DC ECC-C did strike it and replace with something else</w:t>
      </w:r>
    </w:p>
    <w:p w14:paraId="1CFD02D1" w14:textId="77777777" w:rsidR="00990F73" w:rsidRDefault="00990F73" w:rsidP="00990F7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Casey drafted proposal for consideration that strikes it.  Proposed for discussion and vote.</w:t>
      </w:r>
    </w:p>
    <w:p w14:paraId="3161C420" w14:textId="77777777" w:rsidR="00990F73" w:rsidRDefault="00990F73" w:rsidP="00990F73">
      <w:pPr>
        <w:pStyle w:val="ListParagraph"/>
        <w:numPr>
          <w:ilvl w:val="1"/>
          <w:numId w:val="1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“</w:t>
      </w:r>
      <w:r>
        <w:rPr>
          <w:b/>
          <w:bCs/>
          <w:sz w:val="22"/>
          <w:szCs w:val="22"/>
        </w:rPr>
        <w:t>ECC-En-11-1-23 Strike Chapter 11.docx”</w:t>
      </w:r>
    </w:p>
    <w:p w14:paraId="0EADBBF2" w14:textId="77777777" w:rsidR="00990F73" w:rsidRDefault="00990F73" w:rsidP="00990F73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If TAG is supportive, will strike the Chapter 11 references in Thermal Bridging proposal as well</w:t>
      </w:r>
    </w:p>
    <w:p w14:paraId="3A0FEEDB" w14:textId="77777777" w:rsidR="00990F73" w:rsidRDefault="00990F73" w:rsidP="00990F73">
      <w:pPr>
        <w:rPr>
          <w:b/>
          <w:bCs/>
        </w:rPr>
      </w:pPr>
    </w:p>
    <w:p w14:paraId="104B2D64" w14:textId="77777777" w:rsidR="00990F73" w:rsidRDefault="00990F73" w:rsidP="00990F73">
      <w:pPr>
        <w:rPr>
          <w:b/>
          <w:bCs/>
        </w:rPr>
      </w:pPr>
      <w:r>
        <w:rPr>
          <w:b/>
          <w:bCs/>
        </w:rPr>
        <w:t>Green Construction Code development plan</w:t>
      </w:r>
    </w:p>
    <w:p w14:paraId="2F190309" w14:textId="77777777" w:rsidR="00990F73" w:rsidRDefault="00990F73" w:rsidP="00990F7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Background</w:t>
      </w:r>
    </w:p>
    <w:p w14:paraId="6D964277" w14:textId="77777777" w:rsidR="00990F73" w:rsidRDefault="00990F73" w:rsidP="00990F73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Starting in 2018 </w:t>
      </w:r>
      <w:proofErr w:type="spellStart"/>
      <w:r>
        <w:rPr>
          <w:sz w:val="22"/>
          <w:szCs w:val="22"/>
        </w:rPr>
        <w:t>IgCC</w:t>
      </w:r>
      <w:proofErr w:type="spellEnd"/>
      <w:r>
        <w:rPr>
          <w:sz w:val="22"/>
          <w:szCs w:val="22"/>
        </w:rPr>
        <w:t xml:space="preserve"> and ASHRAE 189.1 merged into one common development process and content.  May have different names, but it’s the same.</w:t>
      </w:r>
    </w:p>
    <w:p w14:paraId="3880B309" w14:textId="77777777" w:rsidR="00990F73" w:rsidRDefault="00990F73" w:rsidP="00990F73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Current 2017 DC GCC is based on 2012 </w:t>
      </w:r>
      <w:proofErr w:type="spellStart"/>
      <w:r>
        <w:rPr>
          <w:sz w:val="22"/>
          <w:szCs w:val="22"/>
        </w:rPr>
        <w:t>IgCC</w:t>
      </w:r>
      <w:proofErr w:type="spellEnd"/>
      <w:r>
        <w:rPr>
          <w:sz w:val="22"/>
          <w:szCs w:val="22"/>
        </w:rPr>
        <w:t>.</w:t>
      </w:r>
    </w:p>
    <w:p w14:paraId="3C613803" w14:textId="77777777" w:rsidR="00990F73" w:rsidRDefault="00990F73" w:rsidP="00990F7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Ali has </w:t>
      </w:r>
      <w:proofErr w:type="gramStart"/>
      <w:r>
        <w:rPr>
          <w:sz w:val="22"/>
          <w:szCs w:val="22"/>
        </w:rPr>
        <w:t>lead</w:t>
      </w:r>
      <w:proofErr w:type="gramEnd"/>
      <w:r>
        <w:rPr>
          <w:sz w:val="22"/>
          <w:szCs w:val="22"/>
        </w:rPr>
        <w:t xml:space="preserve"> a Green Construction Code working group to review the latest model code, 2021 </w:t>
      </w:r>
      <w:proofErr w:type="spellStart"/>
      <w:r>
        <w:rPr>
          <w:sz w:val="22"/>
          <w:szCs w:val="22"/>
        </w:rPr>
        <w:t>IgCC</w:t>
      </w:r>
      <w:proofErr w:type="spellEnd"/>
    </w:p>
    <w:p w14:paraId="78AE9976" w14:textId="77777777" w:rsidR="00990F73" w:rsidRDefault="00990F73" w:rsidP="00990F7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Attached work product for TAG review is “</w:t>
      </w:r>
      <w:r>
        <w:rPr>
          <w:b/>
          <w:bCs/>
          <w:sz w:val="22"/>
          <w:szCs w:val="22"/>
        </w:rPr>
        <w:t xml:space="preserve">2021 </w:t>
      </w:r>
      <w:proofErr w:type="spellStart"/>
      <w:r>
        <w:rPr>
          <w:b/>
          <w:bCs/>
          <w:sz w:val="22"/>
          <w:szCs w:val="22"/>
        </w:rPr>
        <w:t>IgCC</w:t>
      </w:r>
      <w:proofErr w:type="spellEnd"/>
      <w:r>
        <w:rPr>
          <w:b/>
          <w:bCs/>
          <w:sz w:val="22"/>
          <w:szCs w:val="22"/>
        </w:rPr>
        <w:t xml:space="preserve"> – TAG Working Group 1.docx</w:t>
      </w:r>
      <w:r>
        <w:rPr>
          <w:sz w:val="22"/>
          <w:szCs w:val="22"/>
        </w:rPr>
        <w:t>”</w:t>
      </w:r>
    </w:p>
    <w:p w14:paraId="5D4243EB" w14:textId="77777777" w:rsidR="00990F73" w:rsidRDefault="00990F73" w:rsidP="00990F7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Decision was made to discontinue practice of updating DC GCC and instead adopt the latest model code (2021 </w:t>
      </w:r>
      <w:proofErr w:type="spellStart"/>
      <w:r>
        <w:rPr>
          <w:sz w:val="22"/>
          <w:szCs w:val="22"/>
        </w:rPr>
        <w:t>IgCC</w:t>
      </w:r>
      <w:proofErr w:type="spellEnd"/>
      <w:r>
        <w:rPr>
          <w:sz w:val="22"/>
          <w:szCs w:val="22"/>
        </w:rPr>
        <w:t>)</w:t>
      </w:r>
    </w:p>
    <w:p w14:paraId="5234788B" w14:textId="77777777" w:rsidR="00990F73" w:rsidRDefault="00990F73" w:rsidP="00990F7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Working group has reviewed 2021 </w:t>
      </w:r>
      <w:proofErr w:type="spellStart"/>
      <w:r>
        <w:rPr>
          <w:sz w:val="22"/>
          <w:szCs w:val="22"/>
        </w:rPr>
        <w:t>IgCC</w:t>
      </w:r>
      <w:proofErr w:type="spellEnd"/>
      <w:r>
        <w:rPr>
          <w:sz w:val="22"/>
          <w:szCs w:val="22"/>
        </w:rPr>
        <w:t xml:space="preserve"> with an eye to remove:</w:t>
      </w:r>
    </w:p>
    <w:p w14:paraId="42015519" w14:textId="77777777" w:rsidR="00990F73" w:rsidRDefault="00990F73" w:rsidP="00990F73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Details pertaining to any other climate zone outside of 4A</w:t>
      </w:r>
    </w:p>
    <w:p w14:paraId="482A6970" w14:textId="77777777" w:rsidR="00990F73" w:rsidRDefault="00990F73" w:rsidP="00990F73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Requirements that are duplicated in other, existing DC regulations</w:t>
      </w:r>
    </w:p>
    <w:p w14:paraId="1E1BC0DC" w14:textId="77777777" w:rsidR="00990F73" w:rsidRDefault="00990F73" w:rsidP="00990F7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Questions for discussion:</w:t>
      </w:r>
    </w:p>
    <w:p w14:paraId="29C2833A" w14:textId="77777777" w:rsidR="00990F73" w:rsidRDefault="00990F73" w:rsidP="00990F73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Is the TAG comfortable with the move away from an elective model for the DC GCC?</w:t>
      </w:r>
    </w:p>
    <w:p w14:paraId="2631109A" w14:textId="77777777" w:rsidR="00990F73" w:rsidRDefault="00990F73" w:rsidP="00990F73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Ali has flagged instances where content was stricken from 2017 </w:t>
      </w:r>
      <w:proofErr w:type="gramStart"/>
      <w:r>
        <w:rPr>
          <w:sz w:val="22"/>
          <w:szCs w:val="22"/>
        </w:rPr>
        <w:t>DC GCC, but</w:t>
      </w:r>
      <w:proofErr w:type="gramEnd"/>
      <w:r>
        <w:rPr>
          <w:sz w:val="22"/>
          <w:szCs w:val="22"/>
        </w:rPr>
        <w:t xml:space="preserve"> is present in the 2021 </w:t>
      </w:r>
      <w:proofErr w:type="spellStart"/>
      <w:r>
        <w:rPr>
          <w:sz w:val="22"/>
          <w:szCs w:val="22"/>
        </w:rPr>
        <w:t>IgCC</w:t>
      </w:r>
      <w:proofErr w:type="spellEnd"/>
      <w:r>
        <w:rPr>
          <w:sz w:val="22"/>
          <w:szCs w:val="22"/>
        </w:rPr>
        <w:t xml:space="preserve"> model code.  Should we keep or strike again?</w:t>
      </w:r>
    </w:p>
    <w:p w14:paraId="4356B731" w14:textId="77777777" w:rsidR="00990F73" w:rsidRDefault="00990F73" w:rsidP="00990F73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Is the TAG comfortable with sections that the working group has stricken as duplicative?</w:t>
      </w:r>
    </w:p>
    <w:p w14:paraId="70BEA512" w14:textId="77777777" w:rsidR="00990F73" w:rsidRDefault="00990F73" w:rsidP="00990F73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Is the TAG comfortable with the land use requirements, which were not previously in the DC GCC?</w:t>
      </w:r>
    </w:p>
    <w:p w14:paraId="5CCF8E4F" w14:textId="77777777" w:rsidR="00990F73" w:rsidRDefault="00990F73" w:rsidP="00990F73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How to best review and approve the model code language as a TAG?</w:t>
      </w:r>
    </w:p>
    <w:p w14:paraId="219366C2" w14:textId="77777777" w:rsidR="00990F73" w:rsidRDefault="00990F73" w:rsidP="00990F73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Should we adopt informative appendices too?</w:t>
      </w:r>
    </w:p>
    <w:p w14:paraId="2ED9F632" w14:textId="77777777" w:rsidR="00990F73" w:rsidRDefault="00990F73" w:rsidP="00990F7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Discussion:</w:t>
      </w:r>
    </w:p>
    <w:p w14:paraId="7AC6AE35" w14:textId="77777777" w:rsidR="00990F73" w:rsidRDefault="00990F73" w:rsidP="00990F73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Energy items stricken from this draft of </w:t>
      </w:r>
      <w:proofErr w:type="spellStart"/>
      <w:r>
        <w:rPr>
          <w:sz w:val="22"/>
          <w:szCs w:val="22"/>
        </w:rPr>
        <w:t>IgCC</w:t>
      </w:r>
      <w:proofErr w:type="spellEnd"/>
      <w:r>
        <w:rPr>
          <w:sz w:val="22"/>
          <w:szCs w:val="22"/>
        </w:rPr>
        <w:t xml:space="preserve"> – consolidates into the ECC, easier to understand, implement and enforce.  Since ECC is heavily amended, don’t think we are losing much.</w:t>
      </w:r>
    </w:p>
    <w:p w14:paraId="3316237C" w14:textId="77777777" w:rsidR="00990F73" w:rsidRDefault="00990F73" w:rsidP="00990F73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How should TAG vote?  Chapter by chapter?  Or one </w:t>
      </w:r>
      <w:proofErr w:type="spellStart"/>
      <w:r>
        <w:rPr>
          <w:sz w:val="22"/>
          <w:szCs w:val="22"/>
        </w:rPr>
        <w:t>ombibus</w:t>
      </w:r>
      <w:proofErr w:type="spellEnd"/>
      <w:r>
        <w:rPr>
          <w:sz w:val="22"/>
          <w:szCs w:val="22"/>
        </w:rPr>
        <w:t xml:space="preserve"> motion?</w:t>
      </w:r>
    </w:p>
    <w:p w14:paraId="735C2C2D" w14:textId="77777777" w:rsidR="00990F73" w:rsidRDefault="00990F73" w:rsidP="00990F73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Current 2017 DC GCC has a </w:t>
      </w:r>
      <w:proofErr w:type="gramStart"/>
      <w:r>
        <w:rPr>
          <w:sz w:val="22"/>
          <w:szCs w:val="22"/>
        </w:rPr>
        <w:t>10,000 sf</w:t>
      </w:r>
      <w:proofErr w:type="gramEnd"/>
      <w:r>
        <w:rPr>
          <w:sz w:val="22"/>
          <w:szCs w:val="22"/>
        </w:rPr>
        <w:t xml:space="preserve"> threshold, but model does not.  Simply says does not apply to SFR, MFR 3 stories or below, mobile homes, </w:t>
      </w:r>
      <w:proofErr w:type="spellStart"/>
      <w:r>
        <w:rPr>
          <w:sz w:val="22"/>
          <w:szCs w:val="22"/>
        </w:rPr>
        <w:t>etc</w:t>
      </w:r>
      <w:proofErr w:type="spellEnd"/>
    </w:p>
    <w:p w14:paraId="3217BC46" w14:textId="77777777" w:rsidR="00990F73" w:rsidRDefault="00990F73" w:rsidP="00990F73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Would all of Chapter 1 be stricken and moved to Building Code?  Including 105 about Jurisdictional Options?</w:t>
      </w:r>
    </w:p>
    <w:p w14:paraId="539EA212" w14:textId="77777777" w:rsidR="00990F73" w:rsidRDefault="00990F73" w:rsidP="00990F73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Section 102 Applicability – Ali felt was already in 2021 IBC, verbatim.</w:t>
      </w:r>
    </w:p>
    <w:p w14:paraId="07BC61D0" w14:textId="77777777" w:rsidR="00990F73" w:rsidRDefault="00990F73" w:rsidP="00990F73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Same for 103, 104, 105, 106, 107, 108, 109, 110, 111, </w:t>
      </w:r>
    </w:p>
    <w:p w14:paraId="610110CC" w14:textId="77777777" w:rsidR="00990F73" w:rsidRDefault="00990F73" w:rsidP="00990F73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Appendix M includes an option to expand applicability to SFR and low-rise MFR.  Uses NGBS.  Do we want to adopt?</w:t>
      </w:r>
    </w:p>
    <w:p w14:paraId="00EE50B5" w14:textId="77777777" w:rsidR="00990F73" w:rsidRDefault="00990F73" w:rsidP="00990F73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Does NBI have any overlay codes for </w:t>
      </w:r>
      <w:proofErr w:type="spellStart"/>
      <w:r>
        <w:rPr>
          <w:sz w:val="22"/>
          <w:szCs w:val="22"/>
        </w:rPr>
        <w:t>IgCC</w:t>
      </w:r>
      <w:proofErr w:type="spellEnd"/>
      <w:r>
        <w:rPr>
          <w:sz w:val="22"/>
          <w:szCs w:val="22"/>
        </w:rPr>
        <w:t>/189.1?</w:t>
      </w:r>
    </w:p>
    <w:p w14:paraId="519AE720" w14:textId="77777777" w:rsidR="00990F73" w:rsidRDefault="00990F73" w:rsidP="00990F73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Could check – Diana not sure.</w:t>
      </w:r>
    </w:p>
    <w:p w14:paraId="3EA19962" w14:textId="77777777" w:rsidR="00990F73" w:rsidRDefault="00990F73" w:rsidP="00990F73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Casey hesitant to grow the scope due to time constraints</w:t>
      </w:r>
    </w:p>
    <w:p w14:paraId="588612FA" w14:textId="77777777" w:rsidR="00990F73" w:rsidRDefault="00990F73" w:rsidP="00990F73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Applicability</w:t>
      </w:r>
    </w:p>
    <w:p w14:paraId="2A92DA83" w14:textId="77777777" w:rsidR="00990F73" w:rsidRDefault="00990F73" w:rsidP="00990F73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2017 DC GCC has 10k sf minimum threshold</w:t>
      </w:r>
    </w:p>
    <w:p w14:paraId="5ED59753" w14:textId="77777777" w:rsidR="00990F73" w:rsidRDefault="00990F73" w:rsidP="00990F73">
      <w:pPr>
        <w:pStyle w:val="ListParagraph"/>
        <w:numPr>
          <w:ilvl w:val="3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Enforcement challenges if projects are submitted separately.  Hard to track.</w:t>
      </w:r>
    </w:p>
    <w:p w14:paraId="431B2CC9" w14:textId="77777777" w:rsidR="00990F73" w:rsidRDefault="00990F73" w:rsidP="00990F73">
      <w:pPr>
        <w:pStyle w:val="ListParagraph"/>
        <w:numPr>
          <w:ilvl w:val="3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Only the work being performed is subject to the Green Code.  Likely means indoor air quality, construction waste, and few others.</w:t>
      </w:r>
    </w:p>
    <w:p w14:paraId="0491E880" w14:textId="77777777" w:rsidR="00990F73" w:rsidRDefault="00990F73" w:rsidP="00990F73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Green Building Act – how does this impact?</w:t>
      </w:r>
    </w:p>
    <w:p w14:paraId="6C9122EE" w14:textId="77777777" w:rsidR="00990F73" w:rsidRDefault="00990F73" w:rsidP="00990F73">
      <w:pPr>
        <w:pStyle w:val="ListParagraph"/>
        <w:numPr>
          <w:ilvl w:val="3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GBA applies to new construction at 50k sf, or anything publicly funded</w:t>
      </w:r>
    </w:p>
    <w:p w14:paraId="16F5F9A7" w14:textId="77777777" w:rsidR="00990F73" w:rsidRDefault="00990F73" w:rsidP="00990F73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Ali (DOB) supportive of not adding in a 10k sf min threshold</w:t>
      </w:r>
    </w:p>
    <w:p w14:paraId="75773270" w14:textId="77777777" w:rsidR="00990F73" w:rsidRDefault="00990F73" w:rsidP="00990F73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Next call</w:t>
      </w:r>
    </w:p>
    <w:p w14:paraId="78D6EA6B" w14:textId="77777777" w:rsidR="00990F73" w:rsidRDefault="00990F73" w:rsidP="00990F73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Participants asked to review the markup proposal of 2021 </w:t>
      </w:r>
      <w:proofErr w:type="spellStart"/>
      <w:r>
        <w:rPr>
          <w:sz w:val="22"/>
          <w:szCs w:val="22"/>
        </w:rPr>
        <w:t>IgCC</w:t>
      </w:r>
      <w:proofErr w:type="spellEnd"/>
      <w:r>
        <w:rPr>
          <w:sz w:val="22"/>
          <w:szCs w:val="22"/>
        </w:rPr>
        <w:t xml:space="preserve">, with specific attention to the applicability, energy, envelope and </w:t>
      </w:r>
      <w:proofErr w:type="spellStart"/>
      <w:r>
        <w:rPr>
          <w:sz w:val="22"/>
          <w:szCs w:val="22"/>
        </w:rPr>
        <w:t>Cx</w:t>
      </w:r>
      <w:proofErr w:type="spellEnd"/>
      <w:r>
        <w:rPr>
          <w:sz w:val="22"/>
          <w:szCs w:val="22"/>
        </w:rPr>
        <w:t xml:space="preserve"> sections.  Come prepared to take voting actions.</w:t>
      </w:r>
      <w:bookmarkEnd w:id="0"/>
    </w:p>
    <w:p w14:paraId="6E964677" w14:textId="77777777" w:rsidR="00D5110A" w:rsidRDefault="00D5110A"/>
    <w:sectPr w:rsidR="00D51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4172C"/>
    <w:multiLevelType w:val="hybridMultilevel"/>
    <w:tmpl w:val="FFFFFFFF"/>
    <w:lvl w:ilvl="0" w:tplc="9FF04A5A">
      <w:start w:val="201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32336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73"/>
    <w:rsid w:val="00990F73"/>
    <w:rsid w:val="00D5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1BE8C"/>
  <w15:chartTrackingRefBased/>
  <w15:docId w15:val="{B7BFBDD1-0626-40F7-8D18-F05C9F32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F73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F73"/>
    <w:pPr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735</Words>
  <Characters>4193</Characters>
  <Application>Microsoft Office Word</Application>
  <DocSecurity>0</DocSecurity>
  <Lines>34</Lines>
  <Paragraphs>9</Paragraphs>
  <ScaleCrop>false</ScaleCrop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McGinnis, Lamont (DOB-Contractor)</dc:creator>
  <cp:keywords/>
  <dc:description/>
  <cp:lastModifiedBy>McGinnis, Lamont (DOB-Contractor)</cp:lastModifiedBy>
  <cp:revision>1</cp:revision>
  <dcterms:created xsi:type="dcterms:W3CDTF">2023-02-09T19:47:00Z</dcterms:created>
  <dcterms:modified xsi:type="dcterms:W3CDTF">2023-02-09T19:47:00Z</dcterms:modified>
</cp:coreProperties>
</file>