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DC1624" w:rsidRDefault="00DC1624" w:rsidP="00D82C08">
      <w:pPr>
        <w:jc w:val="center"/>
      </w:pPr>
      <w:r w:rsidRPr="00DC1624">
        <w:t>November 20, 2017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DC1624">
        <w:rPr>
          <w:b/>
          <w:u w:val="single"/>
        </w:rPr>
        <w:t>Wednesday</w:t>
      </w:r>
      <w:r w:rsidRPr="00B90FF1">
        <w:rPr>
          <w:b/>
          <w:u w:val="single"/>
        </w:rPr>
        <w:t xml:space="preserve">, </w:t>
      </w:r>
      <w:r w:rsidR="00DC1624">
        <w:rPr>
          <w:b/>
          <w:u w:val="single"/>
        </w:rPr>
        <w:t>November 22, 2017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DC1624">
        <w:rPr>
          <w:b/>
          <w:u w:val="single"/>
        </w:rPr>
        <w:t>11:00 a.m.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>
        <w:t xml:space="preserve"> decisions and orders in the following appeals:</w:t>
      </w:r>
    </w:p>
    <w:p w:rsidR="00B90FF1" w:rsidRDefault="00B90FF1" w:rsidP="00D82C08"/>
    <w:p w:rsidR="00B90FF1" w:rsidRDefault="00DC1624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Fineman</w:t>
      </w:r>
      <w:proofErr w:type="spellEnd"/>
      <w:r>
        <w:rPr>
          <w:u w:val="single"/>
        </w:rPr>
        <w:t xml:space="preserve"> v. Smith Property Holdings Van Ness L.P.,</w:t>
      </w:r>
      <w:r>
        <w:t xml:space="preserve"> RH-TP-16-30,842</w:t>
      </w:r>
    </w:p>
    <w:p w:rsidR="00DC1624" w:rsidRDefault="00DC1624" w:rsidP="00DC1624">
      <w:pPr>
        <w:pStyle w:val="ListParagraph"/>
        <w:spacing w:after="240"/>
        <w:ind w:right="720"/>
        <w:contextualSpacing w:val="0"/>
        <w:jc w:val="both"/>
      </w:pPr>
      <w:bookmarkStart w:id="0" w:name="_GoBack"/>
      <w:bookmarkEnd w:id="0"/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C1624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2</cp:revision>
  <dcterms:created xsi:type="dcterms:W3CDTF">2017-11-20T12:52:00Z</dcterms:created>
  <dcterms:modified xsi:type="dcterms:W3CDTF">2017-11-20T12:52:00Z</dcterms:modified>
</cp:coreProperties>
</file>